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F3" w:rsidRPr="005B6E51" w:rsidRDefault="001821E8" w:rsidP="001821E8">
      <w:pPr>
        <w:rPr>
          <w:rFonts w:ascii="Verdana" w:hAnsi="Verdana" w:cs="Times New Roman"/>
          <w:b/>
          <w:sz w:val="20"/>
          <w:szCs w:val="20"/>
        </w:rPr>
      </w:pPr>
      <w:bookmarkStart w:id="0" w:name="_GoBack"/>
      <w:bookmarkEnd w:id="0"/>
      <w:r w:rsidRPr="005B6E51">
        <w:rPr>
          <w:rFonts w:ascii="Verdana" w:hAnsi="Verdana" w:cs="Times New Roman"/>
          <w:b/>
          <w:sz w:val="20"/>
          <w:szCs w:val="20"/>
        </w:rPr>
        <w:t>COVER SHEET</w:t>
      </w:r>
    </w:p>
    <w:p w:rsidR="002E1C3A" w:rsidRPr="005B6E51" w:rsidRDefault="002E1C3A" w:rsidP="002E1C3A">
      <w:pPr>
        <w:pStyle w:val="ListParagraph"/>
        <w:jc w:val="left"/>
        <w:rPr>
          <w:rFonts w:ascii="Verdana" w:hAnsi="Verdana" w:cs="Times New Roman"/>
          <w:sz w:val="20"/>
          <w:szCs w:val="20"/>
        </w:rPr>
      </w:pPr>
    </w:p>
    <w:p w:rsidR="00DB032C" w:rsidRPr="005B6E51" w:rsidRDefault="00DB032C" w:rsidP="001821E8">
      <w:pPr>
        <w:jc w:val="left"/>
        <w:rPr>
          <w:rFonts w:ascii="Verdana" w:hAnsi="Verdana" w:cs="Times New Roman"/>
          <w:sz w:val="20"/>
          <w:szCs w:val="20"/>
          <w:u w:val="single"/>
        </w:rPr>
      </w:pPr>
      <w:r w:rsidRPr="005B6E51">
        <w:rPr>
          <w:rFonts w:ascii="Verdana" w:hAnsi="Verdana" w:cs="Times New Roman"/>
          <w:sz w:val="20"/>
          <w:szCs w:val="20"/>
          <w:u w:val="single"/>
        </w:rPr>
        <w:t>Case Study Title</w:t>
      </w:r>
    </w:p>
    <w:p w:rsidR="002E1C3A" w:rsidRPr="005B6E51" w:rsidRDefault="002E1C3A" w:rsidP="001821E8">
      <w:pPr>
        <w:jc w:val="left"/>
        <w:rPr>
          <w:rFonts w:ascii="Verdana" w:hAnsi="Verdana" w:cs="Times New Roman"/>
          <w:sz w:val="20"/>
          <w:szCs w:val="20"/>
        </w:rPr>
      </w:pPr>
      <w:r w:rsidRPr="005B6E51">
        <w:rPr>
          <w:rFonts w:ascii="Verdana" w:hAnsi="Verdana" w:cs="Times New Roman"/>
          <w:sz w:val="20"/>
          <w:szCs w:val="20"/>
        </w:rPr>
        <w:t>Healthy Communities</w:t>
      </w:r>
    </w:p>
    <w:p w:rsidR="00DB032C" w:rsidRPr="005B6E51" w:rsidRDefault="00DB032C" w:rsidP="001821E8">
      <w:pPr>
        <w:jc w:val="left"/>
        <w:rPr>
          <w:rFonts w:ascii="Verdana" w:hAnsi="Verdana" w:cs="Times New Roman"/>
          <w:sz w:val="20"/>
          <w:szCs w:val="20"/>
        </w:rPr>
      </w:pPr>
    </w:p>
    <w:p w:rsidR="00DB032C" w:rsidRPr="005B6E51" w:rsidRDefault="00DB032C" w:rsidP="001821E8">
      <w:pPr>
        <w:jc w:val="left"/>
        <w:rPr>
          <w:rFonts w:ascii="Verdana" w:hAnsi="Verdana" w:cs="Times New Roman"/>
          <w:sz w:val="20"/>
          <w:szCs w:val="20"/>
          <w:u w:val="single"/>
        </w:rPr>
      </w:pPr>
      <w:r w:rsidRPr="005B6E51">
        <w:rPr>
          <w:rFonts w:ascii="Verdana" w:hAnsi="Verdana" w:cs="Times New Roman"/>
          <w:sz w:val="20"/>
          <w:szCs w:val="20"/>
          <w:u w:val="single"/>
        </w:rPr>
        <w:t>Case Study Category</w:t>
      </w:r>
    </w:p>
    <w:p w:rsidR="002E1C3A" w:rsidRPr="005B6E51" w:rsidRDefault="002E1C3A" w:rsidP="001821E8">
      <w:pPr>
        <w:jc w:val="left"/>
        <w:rPr>
          <w:rFonts w:ascii="Verdana" w:hAnsi="Verdana" w:cs="Times New Roman"/>
          <w:sz w:val="20"/>
          <w:szCs w:val="20"/>
        </w:rPr>
      </w:pPr>
      <w:r w:rsidRPr="005B6E51">
        <w:rPr>
          <w:rFonts w:ascii="Verdana" w:hAnsi="Verdana" w:cs="Times New Roman"/>
          <w:sz w:val="20"/>
          <w:szCs w:val="20"/>
        </w:rPr>
        <w:t xml:space="preserve">Economic Vitality </w:t>
      </w:r>
    </w:p>
    <w:p w:rsidR="003834BC" w:rsidRPr="005B6E51" w:rsidRDefault="003834BC" w:rsidP="00DB032C">
      <w:pPr>
        <w:jc w:val="left"/>
        <w:rPr>
          <w:rFonts w:ascii="Verdana" w:hAnsi="Verdana" w:cs="Times New Roman"/>
          <w:sz w:val="20"/>
          <w:szCs w:val="20"/>
        </w:rPr>
      </w:pPr>
    </w:p>
    <w:p w:rsidR="00DB032C" w:rsidRPr="005B6E51" w:rsidRDefault="00DB032C" w:rsidP="001821E8">
      <w:pPr>
        <w:jc w:val="left"/>
        <w:rPr>
          <w:rFonts w:ascii="Verdana" w:hAnsi="Verdana" w:cs="Times New Roman"/>
          <w:sz w:val="20"/>
          <w:szCs w:val="20"/>
          <w:u w:val="single"/>
        </w:rPr>
      </w:pPr>
      <w:r w:rsidRPr="005B6E51">
        <w:rPr>
          <w:rFonts w:ascii="Verdana" w:hAnsi="Verdana" w:cs="Times New Roman"/>
          <w:sz w:val="20"/>
          <w:szCs w:val="20"/>
          <w:u w:val="single"/>
        </w:rPr>
        <w:t>Jurisdiction Name</w:t>
      </w:r>
    </w:p>
    <w:p w:rsidR="002E1C3A" w:rsidRPr="005B6E51" w:rsidRDefault="002E1C3A" w:rsidP="001821E8">
      <w:pPr>
        <w:jc w:val="left"/>
        <w:rPr>
          <w:rFonts w:ascii="Verdana" w:hAnsi="Verdana" w:cs="Times New Roman"/>
          <w:sz w:val="20"/>
          <w:szCs w:val="20"/>
        </w:rPr>
      </w:pPr>
      <w:r w:rsidRPr="005B6E51">
        <w:rPr>
          <w:rFonts w:ascii="Verdana" w:hAnsi="Verdana" w:cs="Times New Roman"/>
          <w:sz w:val="20"/>
          <w:szCs w:val="20"/>
        </w:rPr>
        <w:t>Pinellas County, Florida</w:t>
      </w:r>
    </w:p>
    <w:p w:rsidR="00DB032C" w:rsidRPr="005B6E51" w:rsidRDefault="00DB032C" w:rsidP="001821E8">
      <w:pPr>
        <w:jc w:val="left"/>
        <w:rPr>
          <w:rFonts w:ascii="Verdana" w:hAnsi="Verdana" w:cs="Times New Roman"/>
          <w:sz w:val="20"/>
          <w:szCs w:val="20"/>
        </w:rPr>
      </w:pPr>
    </w:p>
    <w:p w:rsidR="00DB032C" w:rsidRPr="005B6E51" w:rsidRDefault="00DB032C" w:rsidP="001821E8">
      <w:pPr>
        <w:jc w:val="left"/>
        <w:rPr>
          <w:rFonts w:ascii="Verdana" w:hAnsi="Verdana" w:cs="Times New Roman"/>
          <w:sz w:val="20"/>
          <w:szCs w:val="20"/>
          <w:u w:val="single"/>
        </w:rPr>
      </w:pPr>
      <w:r w:rsidRPr="005B6E51">
        <w:rPr>
          <w:rFonts w:ascii="Verdana" w:hAnsi="Verdana" w:cs="Times New Roman"/>
          <w:sz w:val="20"/>
          <w:szCs w:val="20"/>
          <w:u w:val="single"/>
        </w:rPr>
        <w:t>City/County Manager Name</w:t>
      </w:r>
    </w:p>
    <w:p w:rsidR="002E1C3A" w:rsidRPr="005B6E51" w:rsidRDefault="002E1C3A" w:rsidP="001821E8">
      <w:pPr>
        <w:jc w:val="left"/>
        <w:rPr>
          <w:rFonts w:ascii="Verdana" w:hAnsi="Verdana" w:cs="Times New Roman"/>
          <w:sz w:val="20"/>
          <w:szCs w:val="20"/>
        </w:rPr>
      </w:pPr>
      <w:r w:rsidRPr="005B6E51">
        <w:rPr>
          <w:rFonts w:ascii="Verdana" w:hAnsi="Verdana" w:cs="Times New Roman"/>
          <w:sz w:val="20"/>
          <w:szCs w:val="20"/>
        </w:rPr>
        <w:t>Bob LaSala, County Administrator</w:t>
      </w:r>
    </w:p>
    <w:p w:rsidR="003511CD" w:rsidRPr="005B6E51" w:rsidRDefault="003511CD" w:rsidP="00D07C9E">
      <w:pPr>
        <w:jc w:val="left"/>
        <w:rPr>
          <w:rFonts w:ascii="Verdana" w:hAnsi="Verdana" w:cs="Times New Roman"/>
          <w:sz w:val="20"/>
          <w:szCs w:val="20"/>
        </w:rPr>
      </w:pPr>
    </w:p>
    <w:p w:rsidR="003511CD" w:rsidRPr="005B6E51" w:rsidRDefault="003511CD" w:rsidP="001821E8">
      <w:pPr>
        <w:jc w:val="left"/>
        <w:rPr>
          <w:rFonts w:ascii="Verdana" w:hAnsi="Verdana" w:cs="Times New Roman"/>
          <w:sz w:val="20"/>
          <w:szCs w:val="20"/>
          <w:u w:val="single"/>
        </w:rPr>
      </w:pPr>
      <w:r w:rsidRPr="005B6E51">
        <w:rPr>
          <w:rFonts w:ascii="Verdana" w:hAnsi="Verdana" w:cs="Times New Roman"/>
          <w:sz w:val="20"/>
          <w:szCs w:val="20"/>
          <w:u w:val="single"/>
        </w:rPr>
        <w:t xml:space="preserve">Innovation Award </w:t>
      </w:r>
      <w:r w:rsidR="00EB246B" w:rsidRPr="005B6E51">
        <w:rPr>
          <w:rFonts w:ascii="Verdana" w:hAnsi="Verdana" w:cs="Times New Roman"/>
          <w:sz w:val="20"/>
          <w:szCs w:val="20"/>
          <w:u w:val="single"/>
        </w:rPr>
        <w:t>Consideration</w:t>
      </w:r>
    </w:p>
    <w:p w:rsidR="00EB246B" w:rsidRPr="005B6E51" w:rsidRDefault="00EB246B" w:rsidP="001821E8">
      <w:pPr>
        <w:jc w:val="left"/>
        <w:rPr>
          <w:rFonts w:ascii="Verdana" w:hAnsi="Verdana" w:cs="Times New Roman"/>
          <w:sz w:val="20"/>
          <w:szCs w:val="20"/>
        </w:rPr>
      </w:pPr>
      <w:r w:rsidRPr="005B6E51">
        <w:rPr>
          <w:rFonts w:ascii="Verdana" w:hAnsi="Verdana" w:cs="Times New Roman"/>
          <w:sz w:val="20"/>
          <w:szCs w:val="20"/>
        </w:rPr>
        <w:t>Yes</w:t>
      </w:r>
    </w:p>
    <w:p w:rsidR="00EB246B" w:rsidRPr="005B6E51" w:rsidRDefault="00EB246B" w:rsidP="001821E8">
      <w:pPr>
        <w:jc w:val="left"/>
        <w:rPr>
          <w:rFonts w:ascii="Verdana" w:hAnsi="Verdana" w:cs="Times New Roman"/>
          <w:sz w:val="20"/>
          <w:szCs w:val="20"/>
        </w:rPr>
      </w:pPr>
    </w:p>
    <w:p w:rsidR="00EB246B" w:rsidRPr="005B6E51" w:rsidRDefault="00EB246B" w:rsidP="001821E8">
      <w:pPr>
        <w:jc w:val="left"/>
        <w:rPr>
          <w:rFonts w:ascii="Verdana" w:hAnsi="Verdana" w:cs="Times New Roman"/>
          <w:sz w:val="20"/>
          <w:szCs w:val="20"/>
          <w:u w:val="single"/>
        </w:rPr>
      </w:pPr>
      <w:r w:rsidRPr="005B6E51">
        <w:rPr>
          <w:rFonts w:ascii="Verdana" w:hAnsi="Verdana" w:cs="Times New Roman"/>
          <w:sz w:val="20"/>
          <w:szCs w:val="20"/>
          <w:u w:val="single"/>
        </w:rPr>
        <w:t>Rapid Fire Session C</w:t>
      </w:r>
      <w:r w:rsidR="003834BC" w:rsidRPr="005B6E51">
        <w:rPr>
          <w:rFonts w:ascii="Verdana" w:hAnsi="Verdana" w:cs="Times New Roman"/>
          <w:sz w:val="20"/>
          <w:szCs w:val="20"/>
          <w:u w:val="single"/>
        </w:rPr>
        <w:t>onsideration</w:t>
      </w:r>
    </w:p>
    <w:p w:rsidR="003834BC" w:rsidRPr="005B6E51" w:rsidRDefault="003F7E3B" w:rsidP="001821E8">
      <w:pPr>
        <w:jc w:val="left"/>
        <w:rPr>
          <w:rFonts w:ascii="Verdana" w:hAnsi="Verdana" w:cs="Times New Roman"/>
          <w:sz w:val="20"/>
          <w:szCs w:val="20"/>
        </w:rPr>
      </w:pPr>
      <w:r w:rsidRPr="005B6E51">
        <w:rPr>
          <w:rFonts w:ascii="Verdana" w:hAnsi="Verdana" w:cs="Times New Roman"/>
          <w:sz w:val="20"/>
          <w:szCs w:val="20"/>
        </w:rPr>
        <w:t>No</w:t>
      </w:r>
    </w:p>
    <w:p w:rsidR="003834BC" w:rsidRPr="005B6E51" w:rsidRDefault="003834BC" w:rsidP="00EB246B">
      <w:pPr>
        <w:jc w:val="left"/>
        <w:rPr>
          <w:rFonts w:ascii="Verdana" w:hAnsi="Verdana" w:cs="Times New Roman"/>
          <w:sz w:val="20"/>
          <w:szCs w:val="20"/>
        </w:rPr>
      </w:pPr>
    </w:p>
    <w:p w:rsidR="008A516F" w:rsidRPr="005B6E51" w:rsidRDefault="003834BC" w:rsidP="001821E8">
      <w:pPr>
        <w:jc w:val="left"/>
        <w:rPr>
          <w:rFonts w:ascii="Verdana" w:hAnsi="Verdana" w:cs="Times New Roman"/>
          <w:sz w:val="20"/>
          <w:szCs w:val="20"/>
          <w:u w:val="single"/>
        </w:rPr>
      </w:pPr>
      <w:r w:rsidRPr="005B6E51">
        <w:rPr>
          <w:rFonts w:ascii="Verdana" w:hAnsi="Verdana" w:cs="Times New Roman"/>
          <w:sz w:val="20"/>
          <w:szCs w:val="20"/>
          <w:u w:val="single"/>
        </w:rPr>
        <w:t>Project Leader</w:t>
      </w:r>
    </w:p>
    <w:p w:rsidR="003834BC" w:rsidRPr="005B6E51" w:rsidRDefault="003834BC" w:rsidP="001821E8">
      <w:pPr>
        <w:jc w:val="left"/>
        <w:rPr>
          <w:rFonts w:ascii="Verdana" w:hAnsi="Verdana" w:cs="Times New Roman"/>
          <w:sz w:val="20"/>
          <w:szCs w:val="20"/>
        </w:rPr>
      </w:pPr>
      <w:r w:rsidRPr="005B6E51">
        <w:rPr>
          <w:rFonts w:ascii="Verdana" w:hAnsi="Verdana" w:cs="Times New Roman"/>
          <w:sz w:val="20"/>
          <w:szCs w:val="20"/>
        </w:rPr>
        <w:t>Joanna Cheshire</w:t>
      </w:r>
    </w:p>
    <w:p w:rsidR="003834BC" w:rsidRPr="005B6E51" w:rsidRDefault="003834BC" w:rsidP="001821E8">
      <w:pPr>
        <w:jc w:val="left"/>
        <w:rPr>
          <w:rFonts w:ascii="Verdana" w:hAnsi="Verdana" w:cs="Times New Roman"/>
          <w:sz w:val="20"/>
          <w:szCs w:val="20"/>
        </w:rPr>
      </w:pPr>
      <w:r w:rsidRPr="005B6E51">
        <w:rPr>
          <w:rFonts w:ascii="Verdana" w:hAnsi="Verdana" w:cs="Times New Roman"/>
          <w:sz w:val="20"/>
          <w:szCs w:val="20"/>
        </w:rPr>
        <w:t>Special Projects Coordinator</w:t>
      </w:r>
    </w:p>
    <w:p w:rsidR="003834BC" w:rsidRPr="005B6E51" w:rsidRDefault="003834BC" w:rsidP="001821E8">
      <w:pPr>
        <w:jc w:val="left"/>
        <w:rPr>
          <w:rFonts w:ascii="Verdana" w:hAnsi="Verdana" w:cs="Times New Roman"/>
          <w:sz w:val="20"/>
          <w:szCs w:val="20"/>
        </w:rPr>
      </w:pPr>
      <w:r w:rsidRPr="005B6E51">
        <w:rPr>
          <w:rFonts w:ascii="Verdana" w:hAnsi="Verdana" w:cs="Times New Roman"/>
          <w:sz w:val="20"/>
          <w:szCs w:val="20"/>
        </w:rPr>
        <w:t>Office of the County Administrator</w:t>
      </w:r>
    </w:p>
    <w:p w:rsidR="003834BC" w:rsidRPr="005B6E51" w:rsidRDefault="003834BC" w:rsidP="001821E8">
      <w:pPr>
        <w:jc w:val="left"/>
        <w:rPr>
          <w:rFonts w:ascii="Verdana" w:hAnsi="Verdana" w:cs="Times New Roman"/>
          <w:sz w:val="20"/>
          <w:szCs w:val="20"/>
        </w:rPr>
      </w:pPr>
      <w:r w:rsidRPr="005B6E51">
        <w:rPr>
          <w:rFonts w:ascii="Verdana" w:hAnsi="Verdana" w:cs="Times New Roman"/>
          <w:sz w:val="20"/>
          <w:szCs w:val="20"/>
        </w:rPr>
        <w:t>(727) 464-5758</w:t>
      </w:r>
    </w:p>
    <w:p w:rsidR="003834BC" w:rsidRPr="005B6E51" w:rsidRDefault="00F53F78" w:rsidP="001821E8">
      <w:pPr>
        <w:jc w:val="left"/>
        <w:rPr>
          <w:rFonts w:ascii="Verdana" w:hAnsi="Verdana" w:cs="Times New Roman"/>
          <w:sz w:val="20"/>
          <w:szCs w:val="20"/>
        </w:rPr>
      </w:pPr>
      <w:hyperlink r:id="rId9" w:history="1">
        <w:r w:rsidR="003834BC" w:rsidRPr="005B6E51">
          <w:rPr>
            <w:rStyle w:val="Hyperlink"/>
            <w:rFonts w:ascii="Verdana" w:hAnsi="Verdana" w:cs="Times New Roman"/>
            <w:sz w:val="20"/>
            <w:szCs w:val="20"/>
          </w:rPr>
          <w:t>jcheshire@pinellascounty.org</w:t>
        </w:r>
      </w:hyperlink>
    </w:p>
    <w:p w:rsidR="003834BC" w:rsidRPr="005B6E51" w:rsidRDefault="003834BC" w:rsidP="001821E8">
      <w:pPr>
        <w:jc w:val="left"/>
        <w:rPr>
          <w:rFonts w:ascii="Verdana" w:hAnsi="Verdana" w:cs="Times New Roman"/>
          <w:sz w:val="20"/>
          <w:szCs w:val="20"/>
        </w:rPr>
      </w:pPr>
      <w:r w:rsidRPr="005B6E51">
        <w:rPr>
          <w:rFonts w:ascii="Verdana" w:hAnsi="Verdana" w:cs="Times New Roman"/>
          <w:sz w:val="20"/>
          <w:szCs w:val="20"/>
        </w:rPr>
        <w:t>315 Court Street, Room 601</w:t>
      </w:r>
    </w:p>
    <w:p w:rsidR="003834BC" w:rsidRPr="005B6E51" w:rsidRDefault="003834BC" w:rsidP="001821E8">
      <w:pPr>
        <w:jc w:val="left"/>
        <w:rPr>
          <w:rFonts w:ascii="Verdana" w:hAnsi="Verdana" w:cs="Times New Roman"/>
          <w:sz w:val="20"/>
          <w:szCs w:val="20"/>
        </w:rPr>
      </w:pPr>
      <w:r w:rsidRPr="005B6E51">
        <w:rPr>
          <w:rFonts w:ascii="Verdana" w:hAnsi="Verdana" w:cs="Times New Roman"/>
          <w:sz w:val="20"/>
          <w:szCs w:val="20"/>
        </w:rPr>
        <w:t>Clearwater, FL 33756</w:t>
      </w:r>
    </w:p>
    <w:p w:rsidR="003834BC" w:rsidRPr="005B6E51" w:rsidRDefault="003834BC" w:rsidP="00D07C9E">
      <w:pPr>
        <w:jc w:val="left"/>
        <w:rPr>
          <w:rFonts w:ascii="Verdana" w:hAnsi="Verdana" w:cs="Times New Roman"/>
          <w:sz w:val="20"/>
          <w:szCs w:val="20"/>
        </w:rPr>
      </w:pPr>
    </w:p>
    <w:p w:rsidR="008A516F" w:rsidRPr="005B6E51" w:rsidRDefault="003834BC" w:rsidP="001821E8">
      <w:pPr>
        <w:jc w:val="left"/>
        <w:rPr>
          <w:rFonts w:ascii="Verdana" w:hAnsi="Verdana" w:cs="Times New Roman"/>
          <w:sz w:val="20"/>
          <w:szCs w:val="20"/>
          <w:u w:val="single"/>
        </w:rPr>
      </w:pPr>
      <w:r w:rsidRPr="005B6E51">
        <w:rPr>
          <w:rFonts w:ascii="Verdana" w:hAnsi="Verdana" w:cs="Times New Roman"/>
          <w:sz w:val="20"/>
          <w:szCs w:val="20"/>
          <w:u w:val="single"/>
        </w:rPr>
        <w:t>Presentation Team Members</w:t>
      </w:r>
      <w:r w:rsidR="00D07C9E" w:rsidRPr="005B6E51">
        <w:rPr>
          <w:rFonts w:ascii="Verdana" w:hAnsi="Verdana" w:cs="Times New Roman"/>
          <w:sz w:val="20"/>
          <w:szCs w:val="20"/>
          <w:u w:val="single"/>
        </w:rPr>
        <w:t xml:space="preserve"> (</w:t>
      </w:r>
      <w:r w:rsidR="00522DDB" w:rsidRPr="005B6E51">
        <w:rPr>
          <w:rFonts w:ascii="Verdana" w:hAnsi="Verdana" w:cs="Times New Roman"/>
          <w:sz w:val="20"/>
          <w:szCs w:val="20"/>
          <w:u w:val="single"/>
        </w:rPr>
        <w:t>to be determined</w:t>
      </w:r>
      <w:r w:rsidR="00D07C9E" w:rsidRPr="005B6E51">
        <w:rPr>
          <w:rFonts w:ascii="Verdana" w:hAnsi="Verdana" w:cs="Times New Roman"/>
          <w:sz w:val="20"/>
          <w:szCs w:val="20"/>
          <w:u w:val="single"/>
        </w:rPr>
        <w:t>)</w:t>
      </w:r>
    </w:p>
    <w:p w:rsidR="00D07C9E" w:rsidRPr="005B6E51" w:rsidRDefault="00D07C9E" w:rsidP="00B94FC4">
      <w:pPr>
        <w:pStyle w:val="ListParagraph"/>
        <w:numPr>
          <w:ilvl w:val="0"/>
          <w:numId w:val="5"/>
        </w:numPr>
        <w:jc w:val="both"/>
        <w:rPr>
          <w:rFonts w:ascii="Verdana" w:hAnsi="Verdana" w:cs="Times New Roman"/>
          <w:sz w:val="20"/>
          <w:szCs w:val="20"/>
        </w:rPr>
      </w:pPr>
      <w:r w:rsidRPr="005B6E51">
        <w:rPr>
          <w:rFonts w:ascii="Verdana" w:hAnsi="Verdana" w:cs="Times New Roman"/>
          <w:sz w:val="20"/>
          <w:szCs w:val="20"/>
        </w:rPr>
        <w:t>Larry Arrington, Director of Planning</w:t>
      </w:r>
    </w:p>
    <w:p w:rsidR="00D07C9E" w:rsidRPr="005B6E51" w:rsidRDefault="00F53F78" w:rsidP="00B94FC4">
      <w:pPr>
        <w:ind w:left="720"/>
        <w:jc w:val="both"/>
        <w:rPr>
          <w:rFonts w:ascii="Verdana" w:hAnsi="Verdana" w:cs="Times New Roman"/>
          <w:sz w:val="20"/>
          <w:szCs w:val="20"/>
        </w:rPr>
      </w:pPr>
      <w:hyperlink r:id="rId10" w:history="1">
        <w:r w:rsidR="00D07C9E" w:rsidRPr="005B6E51">
          <w:rPr>
            <w:rStyle w:val="Hyperlink"/>
            <w:rFonts w:ascii="Verdana" w:hAnsi="Verdana" w:cs="Times New Roman"/>
            <w:sz w:val="20"/>
            <w:szCs w:val="20"/>
          </w:rPr>
          <w:t>larringotn@pinellascounty.org</w:t>
        </w:r>
      </w:hyperlink>
    </w:p>
    <w:p w:rsidR="00D07C9E" w:rsidRPr="005B6E51" w:rsidRDefault="00D07C9E" w:rsidP="00D07C9E">
      <w:pPr>
        <w:jc w:val="both"/>
        <w:rPr>
          <w:rFonts w:ascii="Verdana" w:hAnsi="Verdana" w:cs="Times New Roman"/>
          <w:sz w:val="20"/>
          <w:szCs w:val="20"/>
        </w:rPr>
      </w:pPr>
    </w:p>
    <w:p w:rsidR="00D07C9E" w:rsidRPr="005B6E51" w:rsidRDefault="00D07C9E" w:rsidP="00B94FC4">
      <w:pPr>
        <w:pStyle w:val="ListParagraph"/>
        <w:numPr>
          <w:ilvl w:val="0"/>
          <w:numId w:val="5"/>
        </w:numPr>
        <w:jc w:val="both"/>
        <w:rPr>
          <w:rFonts w:ascii="Verdana" w:hAnsi="Verdana" w:cs="Times New Roman"/>
          <w:sz w:val="20"/>
          <w:szCs w:val="20"/>
        </w:rPr>
      </w:pPr>
      <w:r w:rsidRPr="005B6E51">
        <w:rPr>
          <w:rFonts w:ascii="Verdana" w:hAnsi="Verdana" w:cs="Times New Roman"/>
          <w:sz w:val="20"/>
          <w:szCs w:val="20"/>
        </w:rPr>
        <w:t>Tim Burns, Director of Justice &amp; Consumer Services</w:t>
      </w:r>
    </w:p>
    <w:p w:rsidR="00D07C9E" w:rsidRPr="005B6E51" w:rsidRDefault="00D07C9E" w:rsidP="00B94FC4">
      <w:pPr>
        <w:ind w:firstLine="720"/>
        <w:jc w:val="both"/>
        <w:rPr>
          <w:rFonts w:ascii="Verdana" w:hAnsi="Verdana" w:cs="Times New Roman"/>
          <w:sz w:val="20"/>
          <w:szCs w:val="20"/>
        </w:rPr>
      </w:pPr>
      <w:r w:rsidRPr="005B6E51">
        <w:rPr>
          <w:rFonts w:ascii="Verdana" w:hAnsi="Verdana" w:cs="Times New Roman"/>
          <w:sz w:val="20"/>
          <w:szCs w:val="20"/>
        </w:rPr>
        <w:t>(727)</w:t>
      </w:r>
      <w:r w:rsidR="00A445BA" w:rsidRPr="005B6E51">
        <w:rPr>
          <w:rFonts w:ascii="Verdana" w:hAnsi="Verdana" w:cs="Times New Roman"/>
          <w:sz w:val="20"/>
          <w:szCs w:val="20"/>
        </w:rPr>
        <w:t xml:space="preserve"> 453-7441; </w:t>
      </w:r>
      <w:hyperlink r:id="rId11" w:history="1">
        <w:r w:rsidRPr="005B6E51">
          <w:rPr>
            <w:rStyle w:val="Hyperlink"/>
            <w:rFonts w:ascii="Verdana" w:hAnsi="Verdana" w:cs="Times New Roman"/>
            <w:sz w:val="20"/>
            <w:szCs w:val="20"/>
          </w:rPr>
          <w:t>tburns@pinellascounty.org</w:t>
        </w:r>
      </w:hyperlink>
    </w:p>
    <w:p w:rsidR="00D07C9E" w:rsidRPr="005B6E51" w:rsidRDefault="00D07C9E" w:rsidP="00D07C9E">
      <w:pPr>
        <w:jc w:val="both"/>
        <w:rPr>
          <w:rFonts w:ascii="Verdana" w:hAnsi="Verdana" w:cs="Times New Roman"/>
          <w:sz w:val="20"/>
          <w:szCs w:val="20"/>
        </w:rPr>
      </w:pPr>
    </w:p>
    <w:p w:rsidR="00D07C9E" w:rsidRPr="005B6E51" w:rsidRDefault="00D07C9E" w:rsidP="00B94FC4">
      <w:pPr>
        <w:pStyle w:val="ListParagraph"/>
        <w:numPr>
          <w:ilvl w:val="0"/>
          <w:numId w:val="5"/>
        </w:numPr>
        <w:jc w:val="both"/>
        <w:rPr>
          <w:rFonts w:ascii="Verdana" w:hAnsi="Verdana" w:cs="Times New Roman"/>
          <w:sz w:val="20"/>
          <w:szCs w:val="20"/>
        </w:rPr>
      </w:pPr>
      <w:r w:rsidRPr="005B6E51">
        <w:rPr>
          <w:rFonts w:ascii="Verdana" w:hAnsi="Verdana" w:cs="Times New Roman"/>
          <w:sz w:val="20"/>
          <w:szCs w:val="20"/>
        </w:rPr>
        <w:t>Anthony Jones, Director of Community Development</w:t>
      </w:r>
    </w:p>
    <w:p w:rsidR="00D07C9E" w:rsidRPr="005B6E51" w:rsidRDefault="00D07C9E" w:rsidP="00B94FC4">
      <w:pPr>
        <w:ind w:firstLine="720"/>
        <w:jc w:val="both"/>
        <w:rPr>
          <w:rFonts w:ascii="Verdana" w:hAnsi="Verdana" w:cs="Times New Roman"/>
          <w:sz w:val="20"/>
          <w:szCs w:val="20"/>
        </w:rPr>
      </w:pPr>
      <w:r w:rsidRPr="005B6E51">
        <w:rPr>
          <w:rFonts w:ascii="Verdana" w:hAnsi="Verdana" w:cs="Times New Roman"/>
          <w:sz w:val="20"/>
          <w:szCs w:val="20"/>
        </w:rPr>
        <w:t>(727)</w:t>
      </w:r>
      <w:r w:rsidR="00A445BA" w:rsidRPr="005B6E51">
        <w:rPr>
          <w:rFonts w:ascii="Verdana" w:hAnsi="Verdana" w:cs="Times New Roman"/>
          <w:sz w:val="20"/>
          <w:szCs w:val="20"/>
        </w:rPr>
        <w:t xml:space="preserve"> 464-8230; </w:t>
      </w:r>
      <w:hyperlink r:id="rId12" w:history="1">
        <w:r w:rsidRPr="005B6E51">
          <w:rPr>
            <w:rStyle w:val="Hyperlink"/>
            <w:rFonts w:ascii="Verdana" w:hAnsi="Verdana" w:cs="Times New Roman"/>
            <w:sz w:val="20"/>
            <w:szCs w:val="20"/>
          </w:rPr>
          <w:t>ajones@pinellascounty.org</w:t>
        </w:r>
      </w:hyperlink>
    </w:p>
    <w:p w:rsidR="00D07C9E" w:rsidRPr="005B6E51" w:rsidRDefault="00D07C9E" w:rsidP="00D07C9E">
      <w:pPr>
        <w:jc w:val="both"/>
        <w:rPr>
          <w:rFonts w:ascii="Verdana" w:hAnsi="Verdana" w:cs="Times New Roman"/>
          <w:sz w:val="20"/>
          <w:szCs w:val="20"/>
        </w:rPr>
      </w:pPr>
    </w:p>
    <w:p w:rsidR="00D07C9E" w:rsidRPr="005B6E51" w:rsidRDefault="00D07C9E" w:rsidP="00B94FC4">
      <w:pPr>
        <w:pStyle w:val="ListParagraph"/>
        <w:numPr>
          <w:ilvl w:val="0"/>
          <w:numId w:val="5"/>
        </w:numPr>
        <w:jc w:val="both"/>
        <w:rPr>
          <w:rFonts w:ascii="Verdana" w:hAnsi="Verdana" w:cs="Times New Roman"/>
          <w:sz w:val="20"/>
          <w:szCs w:val="20"/>
        </w:rPr>
      </w:pPr>
      <w:r w:rsidRPr="005B6E51">
        <w:rPr>
          <w:rFonts w:ascii="Verdana" w:hAnsi="Verdana" w:cs="Times New Roman"/>
          <w:sz w:val="20"/>
          <w:szCs w:val="20"/>
        </w:rPr>
        <w:t>Mike Meidel, Director of Economic Development</w:t>
      </w:r>
    </w:p>
    <w:p w:rsidR="00D07C9E" w:rsidRPr="005B6E51" w:rsidRDefault="00D07C9E" w:rsidP="00B94FC4">
      <w:pPr>
        <w:ind w:firstLine="720"/>
        <w:jc w:val="both"/>
        <w:rPr>
          <w:rFonts w:ascii="Verdana" w:hAnsi="Verdana" w:cs="Times New Roman"/>
          <w:sz w:val="20"/>
          <w:szCs w:val="20"/>
        </w:rPr>
      </w:pPr>
      <w:r w:rsidRPr="005B6E51">
        <w:rPr>
          <w:rFonts w:ascii="Verdana" w:hAnsi="Verdana" w:cs="Times New Roman"/>
          <w:sz w:val="20"/>
          <w:szCs w:val="20"/>
        </w:rPr>
        <w:t>(727)</w:t>
      </w:r>
      <w:r w:rsidR="00A445BA" w:rsidRPr="005B6E51">
        <w:rPr>
          <w:rFonts w:ascii="Verdana" w:hAnsi="Verdana" w:cs="Times New Roman"/>
          <w:sz w:val="20"/>
          <w:szCs w:val="20"/>
        </w:rPr>
        <w:t xml:space="preserve"> 464-7332; </w:t>
      </w:r>
      <w:hyperlink r:id="rId13" w:history="1">
        <w:r w:rsidRPr="005B6E51">
          <w:rPr>
            <w:rStyle w:val="Hyperlink"/>
            <w:rFonts w:ascii="Verdana" w:hAnsi="Verdana" w:cs="Times New Roman"/>
            <w:sz w:val="20"/>
            <w:szCs w:val="20"/>
          </w:rPr>
          <w:t>mmeidel@pinellacounty.org</w:t>
        </w:r>
      </w:hyperlink>
    </w:p>
    <w:p w:rsidR="00D07C9E" w:rsidRPr="005B6E51" w:rsidRDefault="00D07C9E" w:rsidP="00D07C9E">
      <w:pPr>
        <w:jc w:val="both"/>
        <w:rPr>
          <w:rFonts w:ascii="Verdana" w:hAnsi="Verdana" w:cs="Times New Roman"/>
          <w:sz w:val="20"/>
          <w:szCs w:val="20"/>
        </w:rPr>
      </w:pPr>
    </w:p>
    <w:p w:rsidR="00D07C9E" w:rsidRPr="005B6E51" w:rsidRDefault="00D07C9E" w:rsidP="00B94FC4">
      <w:pPr>
        <w:pStyle w:val="ListParagraph"/>
        <w:numPr>
          <w:ilvl w:val="0"/>
          <w:numId w:val="5"/>
        </w:numPr>
        <w:jc w:val="both"/>
        <w:rPr>
          <w:rFonts w:ascii="Verdana" w:hAnsi="Verdana" w:cs="Times New Roman"/>
          <w:sz w:val="20"/>
          <w:szCs w:val="20"/>
        </w:rPr>
      </w:pPr>
      <w:r w:rsidRPr="005B6E51">
        <w:rPr>
          <w:rFonts w:ascii="Verdana" w:hAnsi="Verdana" w:cs="Times New Roman"/>
          <w:sz w:val="20"/>
          <w:szCs w:val="20"/>
        </w:rPr>
        <w:t>Todd Myers, Code Enforcement</w:t>
      </w:r>
    </w:p>
    <w:p w:rsidR="00152F1F" w:rsidRPr="005B6E51" w:rsidRDefault="00152F1F" w:rsidP="00B94FC4">
      <w:pPr>
        <w:ind w:firstLine="720"/>
        <w:jc w:val="both"/>
        <w:rPr>
          <w:rFonts w:ascii="Verdana" w:hAnsi="Verdana" w:cs="Times New Roman"/>
          <w:sz w:val="20"/>
          <w:szCs w:val="20"/>
        </w:rPr>
      </w:pPr>
      <w:r w:rsidRPr="005B6E51">
        <w:rPr>
          <w:rFonts w:ascii="Verdana" w:hAnsi="Verdana" w:cs="Times New Roman"/>
          <w:sz w:val="20"/>
          <w:szCs w:val="20"/>
        </w:rPr>
        <w:t xml:space="preserve">(727) 464-4761; </w:t>
      </w:r>
      <w:hyperlink r:id="rId14" w:history="1">
        <w:r w:rsidRPr="005B6E51">
          <w:rPr>
            <w:rStyle w:val="Hyperlink"/>
            <w:rFonts w:ascii="Verdana" w:hAnsi="Verdana" w:cs="Times New Roman"/>
            <w:sz w:val="20"/>
            <w:szCs w:val="20"/>
          </w:rPr>
          <w:t>tmyers@pinellascounty.org</w:t>
        </w:r>
      </w:hyperlink>
    </w:p>
    <w:p w:rsidR="00152F1F" w:rsidRPr="005B6E51" w:rsidRDefault="00152F1F" w:rsidP="00D07C9E">
      <w:pPr>
        <w:jc w:val="both"/>
        <w:rPr>
          <w:rFonts w:ascii="Verdana" w:hAnsi="Verdana" w:cs="Times New Roman"/>
          <w:sz w:val="20"/>
          <w:szCs w:val="20"/>
        </w:rPr>
      </w:pPr>
    </w:p>
    <w:p w:rsidR="00952988" w:rsidRPr="005B6E51" w:rsidRDefault="00952988" w:rsidP="00B94FC4">
      <w:pPr>
        <w:pStyle w:val="ListParagraph"/>
        <w:numPr>
          <w:ilvl w:val="0"/>
          <w:numId w:val="5"/>
        </w:numPr>
        <w:jc w:val="both"/>
        <w:rPr>
          <w:rFonts w:ascii="Verdana" w:hAnsi="Verdana" w:cs="Times New Roman"/>
          <w:sz w:val="20"/>
          <w:szCs w:val="20"/>
        </w:rPr>
      </w:pPr>
      <w:r w:rsidRPr="005B6E51">
        <w:rPr>
          <w:rFonts w:ascii="Verdana" w:hAnsi="Verdana" w:cs="Times New Roman"/>
          <w:sz w:val="20"/>
          <w:szCs w:val="20"/>
        </w:rPr>
        <w:t>Gwendolyn Warren, Director of Health &amp; Human Services</w:t>
      </w:r>
    </w:p>
    <w:p w:rsidR="00152F1F" w:rsidRPr="005B6E51" w:rsidRDefault="00152F1F" w:rsidP="00B94FC4">
      <w:pPr>
        <w:ind w:firstLine="720"/>
        <w:jc w:val="both"/>
        <w:rPr>
          <w:rFonts w:ascii="Verdana" w:hAnsi="Verdana" w:cs="Times New Roman"/>
          <w:sz w:val="20"/>
          <w:szCs w:val="20"/>
        </w:rPr>
      </w:pPr>
      <w:r w:rsidRPr="005B6E51">
        <w:rPr>
          <w:rFonts w:ascii="Verdana" w:hAnsi="Verdana" w:cs="Times New Roman"/>
          <w:sz w:val="20"/>
          <w:szCs w:val="20"/>
        </w:rPr>
        <w:t xml:space="preserve">(727) 464-8444; </w:t>
      </w:r>
      <w:hyperlink r:id="rId15" w:history="1">
        <w:r w:rsidRPr="005B6E51">
          <w:rPr>
            <w:rStyle w:val="Hyperlink"/>
            <w:rFonts w:ascii="Verdana" w:hAnsi="Verdana" w:cs="Times New Roman"/>
            <w:sz w:val="20"/>
            <w:szCs w:val="20"/>
          </w:rPr>
          <w:t>gwarren@pinellascounty.org</w:t>
        </w:r>
      </w:hyperlink>
      <w:r w:rsidRPr="005B6E51">
        <w:rPr>
          <w:rFonts w:ascii="Verdana" w:hAnsi="Verdana" w:cs="Times New Roman"/>
          <w:sz w:val="20"/>
          <w:szCs w:val="20"/>
        </w:rPr>
        <w:t xml:space="preserve"> </w:t>
      </w:r>
    </w:p>
    <w:p w:rsidR="00952988" w:rsidRPr="005B6E51" w:rsidRDefault="00952988" w:rsidP="00D07C9E">
      <w:pPr>
        <w:jc w:val="both"/>
        <w:rPr>
          <w:rFonts w:ascii="Verdana" w:hAnsi="Verdana" w:cs="Times New Roman"/>
          <w:sz w:val="20"/>
          <w:szCs w:val="20"/>
        </w:rPr>
      </w:pPr>
    </w:p>
    <w:p w:rsidR="00D07C9E" w:rsidRPr="005B6E51" w:rsidRDefault="00D07C9E" w:rsidP="00D07C9E">
      <w:pPr>
        <w:jc w:val="both"/>
        <w:rPr>
          <w:rFonts w:ascii="Verdana" w:hAnsi="Verdana" w:cs="Times New Roman"/>
          <w:sz w:val="20"/>
          <w:szCs w:val="20"/>
        </w:rPr>
      </w:pPr>
    </w:p>
    <w:p w:rsidR="00534C96" w:rsidRPr="005B6E51" w:rsidRDefault="00EB246B" w:rsidP="00776FB8">
      <w:pPr>
        <w:rPr>
          <w:rFonts w:ascii="Verdana" w:hAnsi="Verdana" w:cs="Times New Roman"/>
          <w:b/>
          <w:sz w:val="20"/>
          <w:szCs w:val="20"/>
        </w:rPr>
      </w:pPr>
      <w:r w:rsidRPr="005B6E51">
        <w:rPr>
          <w:rFonts w:ascii="Verdana" w:hAnsi="Verdana" w:cs="Times New Roman"/>
          <w:b/>
          <w:sz w:val="20"/>
          <w:szCs w:val="20"/>
        </w:rPr>
        <w:br w:type="page"/>
      </w:r>
      <w:r w:rsidR="00BE213B" w:rsidRPr="005B6E51">
        <w:rPr>
          <w:rFonts w:ascii="Verdana" w:hAnsi="Verdana" w:cs="Times New Roman"/>
          <w:b/>
          <w:sz w:val="20"/>
          <w:szCs w:val="20"/>
        </w:rPr>
        <w:lastRenderedPageBreak/>
        <w:t>SYNOPSIS</w:t>
      </w:r>
    </w:p>
    <w:p w:rsidR="00750943" w:rsidRPr="005B6E51" w:rsidRDefault="00750943" w:rsidP="00073264">
      <w:pPr>
        <w:pStyle w:val="ListParagraph"/>
        <w:jc w:val="left"/>
        <w:rPr>
          <w:rFonts w:ascii="Verdana" w:hAnsi="Verdana" w:cs="Times New Roman"/>
          <w:sz w:val="20"/>
          <w:szCs w:val="20"/>
          <w:u w:val="single"/>
        </w:rPr>
      </w:pPr>
    </w:p>
    <w:p w:rsidR="008A516F" w:rsidRPr="005B6E51" w:rsidRDefault="003203AB" w:rsidP="00BE213B">
      <w:pPr>
        <w:jc w:val="left"/>
        <w:rPr>
          <w:rFonts w:ascii="Verdana" w:hAnsi="Verdana" w:cs="Times New Roman"/>
          <w:sz w:val="20"/>
          <w:szCs w:val="20"/>
          <w:u w:val="single"/>
        </w:rPr>
      </w:pPr>
      <w:r w:rsidRPr="005B6E51">
        <w:rPr>
          <w:rFonts w:ascii="Verdana" w:hAnsi="Verdana" w:cs="Times New Roman"/>
          <w:sz w:val="20"/>
          <w:szCs w:val="20"/>
          <w:u w:val="single"/>
        </w:rPr>
        <w:t>Intent of the project/program/service</w:t>
      </w:r>
    </w:p>
    <w:p w:rsidR="00C86C59" w:rsidRPr="005B6E51" w:rsidRDefault="00C86C59" w:rsidP="00BE213B">
      <w:pPr>
        <w:jc w:val="left"/>
        <w:rPr>
          <w:rFonts w:ascii="Verdana" w:hAnsi="Verdana" w:cs="Times New Roman"/>
          <w:sz w:val="20"/>
          <w:szCs w:val="20"/>
          <w:u w:val="single"/>
        </w:rPr>
      </w:pPr>
    </w:p>
    <w:p w:rsidR="002A2CB4" w:rsidRPr="005B6E51" w:rsidRDefault="002A2CB4" w:rsidP="00BE213B">
      <w:pPr>
        <w:jc w:val="left"/>
        <w:rPr>
          <w:rFonts w:ascii="Verdana" w:hAnsi="Verdana" w:cs="Times New Roman"/>
          <w:sz w:val="20"/>
          <w:szCs w:val="20"/>
        </w:rPr>
      </w:pPr>
      <w:r w:rsidRPr="005B6E51">
        <w:rPr>
          <w:rFonts w:ascii="Verdana" w:hAnsi="Verdana" w:cs="Times New Roman"/>
          <w:sz w:val="20"/>
          <w:szCs w:val="20"/>
        </w:rPr>
        <w:t xml:space="preserve">Pinellas County Government strategically identified and aligned specific departments in order serve the </w:t>
      </w:r>
      <w:r w:rsidR="00EC255A" w:rsidRPr="005B6E51">
        <w:rPr>
          <w:rFonts w:ascii="Verdana" w:hAnsi="Verdana" w:cs="Times New Roman"/>
          <w:sz w:val="20"/>
          <w:szCs w:val="20"/>
        </w:rPr>
        <w:t xml:space="preserve">most distressed </w:t>
      </w:r>
      <w:r w:rsidRPr="005B6E51">
        <w:rPr>
          <w:rFonts w:ascii="Verdana" w:hAnsi="Verdana" w:cs="Times New Roman"/>
          <w:sz w:val="20"/>
          <w:szCs w:val="20"/>
        </w:rPr>
        <w:t>communit</w:t>
      </w:r>
      <w:r w:rsidR="00EC255A" w:rsidRPr="005B6E51">
        <w:rPr>
          <w:rFonts w:ascii="Verdana" w:hAnsi="Verdana" w:cs="Times New Roman"/>
          <w:sz w:val="20"/>
          <w:szCs w:val="20"/>
        </w:rPr>
        <w:t>ies within the County</w:t>
      </w:r>
      <w:r w:rsidRPr="005B6E51">
        <w:rPr>
          <w:rFonts w:ascii="Verdana" w:hAnsi="Verdana" w:cs="Times New Roman"/>
          <w:sz w:val="20"/>
          <w:szCs w:val="20"/>
        </w:rPr>
        <w:t xml:space="preserve"> in a high-performance manner, directing resources in the most effective and efficient way. </w:t>
      </w:r>
      <w:r w:rsidR="00EC255A" w:rsidRPr="005B6E51">
        <w:rPr>
          <w:rFonts w:ascii="Verdana" w:hAnsi="Verdana" w:cs="Times New Roman"/>
          <w:sz w:val="20"/>
          <w:szCs w:val="20"/>
        </w:rPr>
        <w:t>There is no single cause and no simple solution to the challenges facing distressed communities and individuals; furthermore, disadvantaged citizens are mired in “vicious feedback loops” that drive them into a quality of life below the standards of healthy vitality necessary to be productive and self-sufficient. Healthy Communities is a transformation from a government-centric to a community-centric model recognizing that while county government has an important role to play; it must play it within the context of a broader network of collaborative partners.</w:t>
      </w:r>
    </w:p>
    <w:p w:rsidR="002A2CB4" w:rsidRPr="005B6E51" w:rsidRDefault="002A2CB4" w:rsidP="00BE213B">
      <w:pPr>
        <w:jc w:val="left"/>
        <w:rPr>
          <w:rFonts w:ascii="Verdana" w:hAnsi="Verdana" w:cs="Times New Roman"/>
          <w:sz w:val="20"/>
          <w:szCs w:val="20"/>
        </w:rPr>
      </w:pPr>
    </w:p>
    <w:p w:rsidR="006F1609" w:rsidRPr="005B6E51" w:rsidRDefault="006F1609" w:rsidP="00BE213B">
      <w:pPr>
        <w:jc w:val="left"/>
        <w:rPr>
          <w:rFonts w:ascii="Verdana" w:hAnsi="Verdana" w:cs="Times New Roman"/>
          <w:b/>
          <w:bCs/>
          <w:sz w:val="20"/>
          <w:szCs w:val="20"/>
        </w:rPr>
      </w:pPr>
      <w:r w:rsidRPr="005B6E51">
        <w:rPr>
          <w:rFonts w:ascii="Verdana" w:hAnsi="Verdana" w:cs="Times New Roman"/>
          <w:sz w:val="20"/>
          <w:szCs w:val="20"/>
        </w:rPr>
        <w:t xml:space="preserve">The </w:t>
      </w:r>
      <w:r w:rsidR="001008B4" w:rsidRPr="005B6E51">
        <w:rPr>
          <w:rFonts w:ascii="Verdana" w:hAnsi="Verdana" w:cs="Times New Roman"/>
          <w:sz w:val="20"/>
          <w:szCs w:val="20"/>
        </w:rPr>
        <w:t xml:space="preserve">Pinellas County </w:t>
      </w:r>
      <w:r w:rsidRPr="005B6E51">
        <w:rPr>
          <w:rFonts w:ascii="Verdana" w:hAnsi="Verdana" w:cs="Times New Roman"/>
          <w:sz w:val="20"/>
          <w:szCs w:val="20"/>
        </w:rPr>
        <w:t xml:space="preserve">Board of County Commissioners </w:t>
      </w:r>
      <w:r w:rsidR="00720FEA" w:rsidRPr="005B6E51">
        <w:rPr>
          <w:rFonts w:ascii="Verdana" w:hAnsi="Verdana" w:cs="Times New Roman"/>
          <w:sz w:val="20"/>
          <w:szCs w:val="20"/>
        </w:rPr>
        <w:t xml:space="preserve">(Board) </w:t>
      </w:r>
      <w:r w:rsidRPr="005B6E51">
        <w:rPr>
          <w:rFonts w:ascii="Verdana" w:hAnsi="Verdana" w:cs="Times New Roman"/>
          <w:sz w:val="20"/>
          <w:szCs w:val="20"/>
        </w:rPr>
        <w:t>has</w:t>
      </w:r>
      <w:r w:rsidR="001008B4" w:rsidRPr="005B6E51">
        <w:rPr>
          <w:rFonts w:ascii="Verdana" w:hAnsi="Verdana" w:cs="Times New Roman"/>
          <w:sz w:val="20"/>
          <w:szCs w:val="20"/>
        </w:rPr>
        <w:t xml:space="preserve"> recently </w:t>
      </w:r>
      <w:r w:rsidRPr="005B6E51">
        <w:rPr>
          <w:rFonts w:ascii="Verdana" w:hAnsi="Verdana" w:cs="Times New Roman"/>
          <w:sz w:val="20"/>
          <w:szCs w:val="20"/>
        </w:rPr>
        <w:t xml:space="preserve">developed a new strategic </w:t>
      </w:r>
      <w:r w:rsidR="00BE213B" w:rsidRPr="005B6E51">
        <w:rPr>
          <w:rFonts w:ascii="Verdana" w:hAnsi="Verdana" w:cs="Times New Roman"/>
          <w:sz w:val="20"/>
          <w:szCs w:val="20"/>
        </w:rPr>
        <w:t xml:space="preserve">vision that aims to improve the </w:t>
      </w:r>
      <w:r w:rsidRPr="005B6E51">
        <w:rPr>
          <w:rFonts w:ascii="Verdana" w:hAnsi="Verdana" w:cs="Times New Roman"/>
          <w:sz w:val="20"/>
          <w:szCs w:val="20"/>
        </w:rPr>
        <w:t>quality of life for Pinellas County residents.</w:t>
      </w:r>
      <w:r w:rsidR="00E34456" w:rsidRPr="005B6E51">
        <w:rPr>
          <w:rFonts w:ascii="Verdana" w:hAnsi="Verdana" w:cs="Times New Roman"/>
          <w:sz w:val="20"/>
          <w:szCs w:val="20"/>
        </w:rPr>
        <w:t xml:space="preserve"> The groundwork to address this vision was un</w:t>
      </w:r>
      <w:r w:rsidR="00720FEA" w:rsidRPr="005B6E51">
        <w:rPr>
          <w:rFonts w:ascii="Verdana" w:hAnsi="Verdana" w:cs="Times New Roman"/>
          <w:sz w:val="20"/>
          <w:szCs w:val="20"/>
        </w:rPr>
        <w:t>dertaken by county departments—H</w:t>
      </w:r>
      <w:r w:rsidR="00E34456" w:rsidRPr="005B6E51">
        <w:rPr>
          <w:rFonts w:ascii="Verdana" w:hAnsi="Verdana" w:cs="Times New Roman"/>
          <w:sz w:val="20"/>
          <w:szCs w:val="20"/>
        </w:rPr>
        <w:t>ealth and Human Services, Justice and Consumer Services, Community Development, Economic Development, Code Enforcement, and Planning</w:t>
      </w:r>
      <w:r w:rsidR="00720FEA" w:rsidRPr="005B6E51">
        <w:rPr>
          <w:rFonts w:ascii="Verdana" w:hAnsi="Verdana" w:cs="Times New Roman"/>
          <w:sz w:val="20"/>
          <w:szCs w:val="20"/>
        </w:rPr>
        <w:t>—th</w:t>
      </w:r>
      <w:r w:rsidR="00E34456" w:rsidRPr="005B6E51">
        <w:rPr>
          <w:rFonts w:ascii="Verdana" w:hAnsi="Verdana" w:cs="Times New Roman"/>
          <w:sz w:val="20"/>
          <w:szCs w:val="20"/>
        </w:rPr>
        <w:t xml:space="preserve">rough a series of workshops to reassess their core services to ensure they align with the Board’s Strategic Direction. </w:t>
      </w:r>
      <w:r w:rsidR="00096EDA" w:rsidRPr="005B6E51">
        <w:rPr>
          <w:rFonts w:ascii="Verdana" w:hAnsi="Verdana" w:cs="Times New Roman"/>
          <w:sz w:val="20"/>
          <w:szCs w:val="20"/>
        </w:rPr>
        <w:t>T</w:t>
      </w:r>
      <w:r w:rsidR="00E34456" w:rsidRPr="005B6E51">
        <w:rPr>
          <w:rFonts w:ascii="Verdana" w:hAnsi="Verdana" w:cs="Times New Roman"/>
          <w:sz w:val="20"/>
          <w:szCs w:val="20"/>
        </w:rPr>
        <w:t xml:space="preserve">his workgroup took an economic approach to identify which constituents are the greatest users of county resources, recognizing limitations in available funds and the complexity of issues our communities face. </w:t>
      </w:r>
      <w:r w:rsidR="00E34456" w:rsidRPr="005B6E51">
        <w:rPr>
          <w:rFonts w:ascii="Verdana" w:hAnsi="Verdana" w:cs="Times New Roman"/>
          <w:b/>
          <w:bCs/>
          <w:sz w:val="20"/>
          <w:szCs w:val="20"/>
        </w:rPr>
        <w:t>The economic approach entailed two phases: identifying specific zones within Pinellas County that have high concentrations of poverty and small return to our tax base and outlining specific suggestions on strategic initiatives that align with the Board’s Strategic Direction and will impact overall community outcomes without incurring in additional costs.</w:t>
      </w:r>
    </w:p>
    <w:p w:rsidR="00E34456" w:rsidRPr="005B6E51" w:rsidRDefault="00E34456" w:rsidP="00BE213B">
      <w:pPr>
        <w:jc w:val="left"/>
        <w:rPr>
          <w:rFonts w:ascii="Verdana" w:hAnsi="Verdana" w:cs="Times New Roman"/>
          <w:b/>
          <w:bCs/>
          <w:sz w:val="20"/>
          <w:szCs w:val="20"/>
        </w:rPr>
      </w:pPr>
    </w:p>
    <w:p w:rsidR="00E34456" w:rsidRPr="005B6E51" w:rsidRDefault="00F020E9" w:rsidP="00BE213B">
      <w:pPr>
        <w:jc w:val="left"/>
        <w:rPr>
          <w:rFonts w:ascii="Verdana" w:hAnsi="Verdana" w:cs="Times New Roman"/>
          <w:sz w:val="20"/>
          <w:szCs w:val="20"/>
        </w:rPr>
      </w:pPr>
      <w:r w:rsidRPr="005B6E51">
        <w:rPr>
          <w:rFonts w:ascii="Verdana" w:hAnsi="Verdana" w:cs="Times New Roman"/>
          <w:sz w:val="20"/>
          <w:szCs w:val="20"/>
        </w:rPr>
        <w:t xml:space="preserve">The first phase focused on identifying the areas within our community that have high concentrations of poverty, their geographies, demographics, and economic impact on the County. This approach was taken because having specific clusters of poverty within Pinellas County is detrimental to the entire community, for poverty spreads and impacts everyone’s quality of life – including those not impoverished. Poverty also affects the economic prosperity of a community, since conditions associated with poverty can limit an individual’s ability to develop the skills, knowledge, and habits necessary to fully participate in the workforce. While there is no one cause for poverty, communities exhibiting high poverty rates also have disparities in social and environmental determinants that lead to poor outcomes. </w:t>
      </w:r>
      <w:r w:rsidRPr="005B6E51">
        <w:rPr>
          <w:rFonts w:ascii="Verdana" w:hAnsi="Verdana" w:cs="Times New Roman"/>
          <w:b/>
          <w:bCs/>
          <w:sz w:val="20"/>
          <w:szCs w:val="20"/>
        </w:rPr>
        <w:t>After examining the entire County, five at-risk communities were identified to have 16% or more of their population living at or below 100% of the Federal Poverty Level (FPL). The low-income individuals residing within these zones account for approximately 45% of the County’s total low-income population</w:t>
      </w:r>
      <w:r w:rsidRPr="005B6E51">
        <w:rPr>
          <w:rFonts w:ascii="Verdana" w:hAnsi="Verdana" w:cs="Times New Roman"/>
          <w:sz w:val="20"/>
          <w:szCs w:val="20"/>
        </w:rPr>
        <w:t>. Not only have these zones presented in poverty beyond the most recent economic downturn, but these areas are also showing signs of growth, exemplifying how concentration of poverty affects nearby communities.</w:t>
      </w:r>
    </w:p>
    <w:p w:rsidR="00F020E9" w:rsidRPr="005B6E51" w:rsidRDefault="00F020E9" w:rsidP="00BE213B">
      <w:pPr>
        <w:jc w:val="left"/>
        <w:rPr>
          <w:rFonts w:ascii="Verdana" w:hAnsi="Verdana" w:cs="Times New Roman"/>
          <w:b/>
          <w:bCs/>
          <w:sz w:val="20"/>
          <w:szCs w:val="20"/>
        </w:rPr>
      </w:pPr>
    </w:p>
    <w:p w:rsidR="00E34456" w:rsidRPr="005B6E51" w:rsidRDefault="00E34456" w:rsidP="00BE213B">
      <w:pPr>
        <w:jc w:val="left"/>
        <w:rPr>
          <w:rFonts w:ascii="Verdana" w:hAnsi="Verdana" w:cs="Times New Roman"/>
          <w:sz w:val="20"/>
          <w:szCs w:val="20"/>
        </w:rPr>
      </w:pPr>
      <w:r w:rsidRPr="005B6E51">
        <w:rPr>
          <w:rFonts w:ascii="Verdana" w:hAnsi="Verdana" w:cs="Times New Roman"/>
          <w:sz w:val="20"/>
          <w:szCs w:val="20"/>
        </w:rPr>
        <w:t xml:space="preserve">Costs associated with individuals living in poverty are elevated due to an increased risk of adverse outcomes such as poor health, low productivity, and increased crime in unsafe neighborhoods which leads to lower graduation rates and a reduced participation in the labor market. </w:t>
      </w:r>
      <w:r w:rsidRPr="005B6E51">
        <w:rPr>
          <w:rFonts w:ascii="Verdana" w:hAnsi="Verdana" w:cs="Times New Roman"/>
          <w:b/>
          <w:bCs/>
          <w:sz w:val="20"/>
          <w:szCs w:val="20"/>
        </w:rPr>
        <w:t xml:space="preserve">Our analysis of these communities indicates that these areas are responsible for up to 57% of all arrested adults and 59% of all arrested youths during fiscal year 2011, approximately $254.6 million annually in lost wages due to adults that dropped out of high school, 40% of all foreclosures in 2009, and a 16% unemployment rate in 2009. </w:t>
      </w:r>
      <w:r w:rsidRPr="005B6E51">
        <w:rPr>
          <w:rFonts w:ascii="Verdana" w:hAnsi="Verdana" w:cs="Times New Roman"/>
          <w:sz w:val="20"/>
          <w:szCs w:val="20"/>
        </w:rPr>
        <w:t xml:space="preserve">Furthermore, housing available at affordable rates for </w:t>
      </w:r>
      <w:r w:rsidRPr="005B6E51">
        <w:rPr>
          <w:rFonts w:ascii="Verdana" w:hAnsi="Verdana" w:cs="Times New Roman"/>
          <w:sz w:val="20"/>
          <w:szCs w:val="20"/>
        </w:rPr>
        <w:lastRenderedPageBreak/>
        <w:t>the low-income population is clustered within or near the five at-risk communities, forcing individuals searching for affordable housing to reside in communities with limited access to food and health care, in addition to long commutes if they have a job that requires them to travel and they rely on public transportation. These individuals also have poorer health outcomes than the general population, with the total hospital costs of Medicaid beneficiaries and the uninsured exceeding $1.9 billion from October 2010 to September 2011. Even if only 25% of the utilization came from low-income individuals residing in these zones, that would still account for $120.5 million in emergency room cost and $359.4 million in inpatient costs attributed to Medicaid beneficiaries and the uninsured.</w:t>
      </w:r>
    </w:p>
    <w:p w:rsidR="00E34456" w:rsidRPr="005B6E51" w:rsidRDefault="00E34456" w:rsidP="00BE213B">
      <w:pPr>
        <w:jc w:val="left"/>
        <w:rPr>
          <w:rFonts w:ascii="Verdana" w:hAnsi="Verdana" w:cs="Times New Roman"/>
          <w:sz w:val="20"/>
          <w:szCs w:val="20"/>
        </w:rPr>
      </w:pPr>
    </w:p>
    <w:p w:rsidR="00E34456" w:rsidRPr="005B6E51" w:rsidRDefault="00E34456" w:rsidP="00BE213B">
      <w:pPr>
        <w:jc w:val="left"/>
        <w:rPr>
          <w:rFonts w:ascii="Verdana" w:hAnsi="Verdana" w:cs="Times New Roman"/>
          <w:sz w:val="20"/>
          <w:szCs w:val="20"/>
        </w:rPr>
      </w:pPr>
      <w:r w:rsidRPr="005B6E51">
        <w:rPr>
          <w:rFonts w:ascii="Verdana" w:hAnsi="Verdana" w:cs="Times New Roman"/>
          <w:sz w:val="20"/>
          <w:szCs w:val="20"/>
        </w:rPr>
        <w:t xml:space="preserve">One conclusion to be drawn is that current efforts through departmental programs and services need to be re-tuned with greater efficiencies to not only maximize dollars and see a value-added return but to also realize improved quality of life for all Pinellas County residents. </w:t>
      </w:r>
      <w:r w:rsidRPr="005B6E51">
        <w:rPr>
          <w:rFonts w:ascii="Verdana" w:hAnsi="Verdana" w:cs="Times New Roman"/>
          <w:b/>
          <w:bCs/>
          <w:sz w:val="20"/>
          <w:szCs w:val="20"/>
        </w:rPr>
        <w:t xml:space="preserve">While we understand that low-income individuals reside within all parts of Pinellas County, it is only in areas with high concentrations of poverty that one can see social patterns and costs associated with poverty. </w:t>
      </w:r>
      <w:r w:rsidRPr="005B6E51">
        <w:rPr>
          <w:rFonts w:ascii="Verdana" w:hAnsi="Verdana" w:cs="Times New Roman"/>
          <w:sz w:val="20"/>
          <w:szCs w:val="20"/>
        </w:rPr>
        <w:t>These effects are amplified by raising children in poor environments, which contribute to poor development, increased illnesses, lower educational attainment, lack of recreational activities and role models, disengagement in the community, lower paying jobs, risk of homelessness, increased arrests and recidivism rates, and a lower lifetime monetary contribution to society.</w:t>
      </w:r>
    </w:p>
    <w:p w:rsidR="00E34456" w:rsidRPr="005B6E51" w:rsidRDefault="00E34456" w:rsidP="00BE213B">
      <w:pPr>
        <w:jc w:val="left"/>
        <w:rPr>
          <w:rFonts w:ascii="Verdana" w:hAnsi="Verdana" w:cs="Times New Roman"/>
          <w:sz w:val="20"/>
          <w:szCs w:val="20"/>
        </w:rPr>
      </w:pPr>
    </w:p>
    <w:p w:rsidR="00E34456" w:rsidRPr="005B6E51" w:rsidRDefault="00E34456" w:rsidP="00E34456">
      <w:pPr>
        <w:autoSpaceDE w:val="0"/>
        <w:autoSpaceDN w:val="0"/>
        <w:adjustRightInd w:val="0"/>
        <w:jc w:val="left"/>
        <w:rPr>
          <w:rFonts w:ascii="Verdana" w:hAnsi="Verdana" w:cs="Times New Roman"/>
          <w:color w:val="000000"/>
          <w:sz w:val="20"/>
          <w:szCs w:val="20"/>
        </w:rPr>
      </w:pPr>
      <w:r w:rsidRPr="005B6E51">
        <w:rPr>
          <w:rFonts w:ascii="Verdana" w:hAnsi="Verdana" w:cs="Times New Roman"/>
          <w:color w:val="000000"/>
          <w:sz w:val="20"/>
          <w:szCs w:val="20"/>
        </w:rPr>
        <w:t xml:space="preserve">The second part of our economic approach addresses the workgroup’s proposals to meet the Board’s strategic outcomes: </w:t>
      </w:r>
    </w:p>
    <w:p w:rsidR="00E34456" w:rsidRPr="005B6E51" w:rsidRDefault="00E34456" w:rsidP="001008B4">
      <w:pPr>
        <w:pStyle w:val="ListParagraph"/>
        <w:numPr>
          <w:ilvl w:val="0"/>
          <w:numId w:val="4"/>
        </w:numPr>
        <w:autoSpaceDE w:val="0"/>
        <w:autoSpaceDN w:val="0"/>
        <w:adjustRightInd w:val="0"/>
        <w:jc w:val="left"/>
        <w:rPr>
          <w:rFonts w:ascii="Verdana" w:hAnsi="Verdana" w:cs="Times New Roman"/>
          <w:color w:val="000000"/>
          <w:sz w:val="20"/>
          <w:szCs w:val="20"/>
        </w:rPr>
      </w:pPr>
      <w:r w:rsidRPr="005B6E51">
        <w:rPr>
          <w:rFonts w:ascii="Verdana" w:hAnsi="Verdana" w:cs="Times New Roman"/>
          <w:color w:val="000000"/>
          <w:sz w:val="20"/>
          <w:szCs w:val="20"/>
        </w:rPr>
        <w:t xml:space="preserve">increasing citizen satisfaction with the delivery of services </w:t>
      </w:r>
    </w:p>
    <w:p w:rsidR="00E34456" w:rsidRPr="005B6E51" w:rsidRDefault="00E34456" w:rsidP="001008B4">
      <w:pPr>
        <w:pStyle w:val="ListParagraph"/>
        <w:numPr>
          <w:ilvl w:val="0"/>
          <w:numId w:val="4"/>
        </w:numPr>
        <w:autoSpaceDE w:val="0"/>
        <w:autoSpaceDN w:val="0"/>
        <w:adjustRightInd w:val="0"/>
        <w:jc w:val="left"/>
        <w:rPr>
          <w:rFonts w:ascii="Verdana" w:hAnsi="Verdana" w:cs="Times New Roman"/>
          <w:color w:val="000000"/>
          <w:sz w:val="20"/>
          <w:szCs w:val="20"/>
        </w:rPr>
      </w:pPr>
      <w:r w:rsidRPr="005B6E51">
        <w:rPr>
          <w:rFonts w:ascii="Verdana" w:hAnsi="Verdana" w:cs="Times New Roman"/>
          <w:color w:val="000000"/>
          <w:sz w:val="20"/>
          <w:szCs w:val="20"/>
        </w:rPr>
        <w:t xml:space="preserve">delivering measureable savings and improved customer service from investments in technology </w:t>
      </w:r>
    </w:p>
    <w:p w:rsidR="00E34456" w:rsidRPr="005B6E51" w:rsidRDefault="00E34456" w:rsidP="001008B4">
      <w:pPr>
        <w:pStyle w:val="ListParagraph"/>
        <w:numPr>
          <w:ilvl w:val="0"/>
          <w:numId w:val="4"/>
        </w:numPr>
        <w:autoSpaceDE w:val="0"/>
        <w:autoSpaceDN w:val="0"/>
        <w:adjustRightInd w:val="0"/>
        <w:jc w:val="left"/>
        <w:rPr>
          <w:rFonts w:ascii="Verdana" w:hAnsi="Verdana" w:cs="Times New Roman"/>
          <w:color w:val="000000"/>
          <w:sz w:val="20"/>
          <w:szCs w:val="20"/>
        </w:rPr>
      </w:pPr>
      <w:r w:rsidRPr="005B6E51">
        <w:rPr>
          <w:rFonts w:ascii="Verdana" w:hAnsi="Verdana" w:cs="Times New Roman"/>
          <w:color w:val="000000"/>
          <w:sz w:val="20"/>
          <w:szCs w:val="20"/>
        </w:rPr>
        <w:t xml:space="preserve">utilizing a data driven approach to target opportunities for efficiencies </w:t>
      </w:r>
    </w:p>
    <w:p w:rsidR="00E34456" w:rsidRPr="005B6E51" w:rsidRDefault="00E34456" w:rsidP="001008B4">
      <w:pPr>
        <w:pStyle w:val="ListParagraph"/>
        <w:numPr>
          <w:ilvl w:val="0"/>
          <w:numId w:val="4"/>
        </w:numPr>
        <w:autoSpaceDE w:val="0"/>
        <w:autoSpaceDN w:val="0"/>
        <w:adjustRightInd w:val="0"/>
        <w:jc w:val="left"/>
        <w:rPr>
          <w:rFonts w:ascii="Verdana" w:hAnsi="Verdana" w:cs="Times New Roman"/>
          <w:color w:val="000000"/>
          <w:sz w:val="20"/>
          <w:szCs w:val="20"/>
        </w:rPr>
      </w:pPr>
      <w:r w:rsidRPr="005B6E51">
        <w:rPr>
          <w:rFonts w:ascii="Verdana" w:hAnsi="Verdana" w:cs="Times New Roman"/>
          <w:color w:val="000000"/>
          <w:sz w:val="20"/>
          <w:szCs w:val="20"/>
        </w:rPr>
        <w:t xml:space="preserve">achieving measureable per service/per unit cost savings </w:t>
      </w:r>
    </w:p>
    <w:p w:rsidR="00E34456" w:rsidRPr="005B6E51" w:rsidRDefault="00E34456" w:rsidP="001008B4">
      <w:pPr>
        <w:pStyle w:val="ListParagraph"/>
        <w:numPr>
          <w:ilvl w:val="0"/>
          <w:numId w:val="4"/>
        </w:numPr>
        <w:autoSpaceDE w:val="0"/>
        <w:autoSpaceDN w:val="0"/>
        <w:adjustRightInd w:val="0"/>
        <w:jc w:val="left"/>
        <w:rPr>
          <w:rFonts w:ascii="Verdana" w:hAnsi="Verdana" w:cs="Times New Roman"/>
          <w:color w:val="000000"/>
          <w:sz w:val="20"/>
          <w:szCs w:val="20"/>
        </w:rPr>
      </w:pPr>
      <w:r w:rsidRPr="005B6E51">
        <w:rPr>
          <w:rFonts w:ascii="Verdana" w:hAnsi="Verdana" w:cs="Times New Roman"/>
          <w:color w:val="000000"/>
          <w:sz w:val="20"/>
          <w:szCs w:val="20"/>
        </w:rPr>
        <w:t xml:space="preserve">achieving cost savings from collaborative workgroup for consolidation </w:t>
      </w:r>
    </w:p>
    <w:p w:rsidR="00E34456" w:rsidRPr="005B6E51" w:rsidRDefault="00E34456" w:rsidP="001008B4">
      <w:pPr>
        <w:pStyle w:val="ListParagraph"/>
        <w:numPr>
          <w:ilvl w:val="0"/>
          <w:numId w:val="4"/>
        </w:numPr>
        <w:autoSpaceDE w:val="0"/>
        <w:autoSpaceDN w:val="0"/>
        <w:adjustRightInd w:val="0"/>
        <w:jc w:val="left"/>
        <w:rPr>
          <w:rFonts w:ascii="Verdana" w:hAnsi="Verdana" w:cs="Times New Roman"/>
          <w:color w:val="000000"/>
          <w:sz w:val="20"/>
          <w:szCs w:val="20"/>
        </w:rPr>
      </w:pPr>
      <w:r w:rsidRPr="005B6E51">
        <w:rPr>
          <w:rFonts w:ascii="Verdana" w:hAnsi="Verdana" w:cs="Times New Roman"/>
          <w:color w:val="000000"/>
          <w:sz w:val="20"/>
          <w:szCs w:val="20"/>
        </w:rPr>
        <w:t xml:space="preserve">enhancing public safety and reducing victimization </w:t>
      </w:r>
    </w:p>
    <w:p w:rsidR="00E34456" w:rsidRPr="005B6E51" w:rsidRDefault="00E34456" w:rsidP="00BE213B">
      <w:pPr>
        <w:jc w:val="left"/>
        <w:rPr>
          <w:rFonts w:ascii="Verdana" w:hAnsi="Verdana" w:cs="Times New Roman"/>
          <w:sz w:val="20"/>
          <w:szCs w:val="20"/>
        </w:rPr>
      </w:pPr>
    </w:p>
    <w:p w:rsidR="00E34456" w:rsidRPr="005B6E51" w:rsidRDefault="00E34456" w:rsidP="00E34456">
      <w:pPr>
        <w:autoSpaceDE w:val="0"/>
        <w:autoSpaceDN w:val="0"/>
        <w:adjustRightInd w:val="0"/>
        <w:jc w:val="left"/>
        <w:rPr>
          <w:rFonts w:ascii="Verdana" w:hAnsi="Verdana" w:cs="Times New Roman"/>
          <w:color w:val="000000"/>
          <w:sz w:val="20"/>
          <w:szCs w:val="20"/>
        </w:rPr>
      </w:pPr>
      <w:r w:rsidRPr="005B6E51">
        <w:rPr>
          <w:rFonts w:ascii="Verdana" w:hAnsi="Verdana" w:cs="Times New Roman"/>
          <w:b/>
          <w:bCs/>
          <w:color w:val="000000"/>
          <w:sz w:val="20"/>
          <w:szCs w:val="20"/>
        </w:rPr>
        <w:t xml:space="preserve">We believe that in order for the county to see a reduction in service costs associated with at-risk communities, departments must re-align their core services and work collectively rather than independently. </w:t>
      </w:r>
      <w:r w:rsidRPr="005B6E51">
        <w:rPr>
          <w:rFonts w:ascii="Verdana" w:hAnsi="Verdana" w:cs="Times New Roman"/>
          <w:color w:val="000000"/>
          <w:sz w:val="20"/>
          <w:szCs w:val="20"/>
        </w:rPr>
        <w:t xml:space="preserve">By doing so, Pinellas County will be able to increase its return on investment (in terms of a highly skilled workforce, greater number of high school graduates, decreased crime rates, and increased property values) improve community outcomes and overall quality of life – ultimately reducing the need for government support services in these neighborhoods and freeing up resources to be used countywide. </w:t>
      </w:r>
    </w:p>
    <w:p w:rsidR="001008B4" w:rsidRPr="005B6E51" w:rsidRDefault="001008B4" w:rsidP="00E34456">
      <w:pPr>
        <w:jc w:val="left"/>
        <w:rPr>
          <w:rFonts w:ascii="Verdana" w:hAnsi="Verdana" w:cs="Times New Roman"/>
          <w:color w:val="000000"/>
          <w:sz w:val="20"/>
          <w:szCs w:val="20"/>
        </w:rPr>
      </w:pPr>
    </w:p>
    <w:p w:rsidR="00E34456" w:rsidRPr="005B6E51" w:rsidRDefault="00E34456" w:rsidP="00E34456">
      <w:pPr>
        <w:jc w:val="left"/>
        <w:rPr>
          <w:rFonts w:ascii="Verdana" w:hAnsi="Verdana" w:cs="Times New Roman"/>
          <w:sz w:val="20"/>
          <w:szCs w:val="20"/>
        </w:rPr>
      </w:pPr>
      <w:r w:rsidRPr="005B6E51">
        <w:rPr>
          <w:rFonts w:ascii="Verdana" w:hAnsi="Verdana" w:cs="Times New Roman"/>
          <w:color w:val="000000"/>
          <w:sz w:val="20"/>
          <w:szCs w:val="20"/>
        </w:rPr>
        <w:t>The strategic initiatives are vital strategies to bend the cost curve of expenditure for these at-risk neighborhoods. The initiatives focus on collaboration, co-location, investments in technology, data-driven decision making and preventive services – allowing families to have greater access to support services.</w:t>
      </w:r>
    </w:p>
    <w:p w:rsidR="006F1609" w:rsidRPr="005B6E51" w:rsidRDefault="006F1609" w:rsidP="006F1609">
      <w:pPr>
        <w:pStyle w:val="ListParagraph"/>
        <w:jc w:val="left"/>
        <w:rPr>
          <w:rFonts w:ascii="Verdana" w:hAnsi="Verdana" w:cs="Times New Roman"/>
          <w:sz w:val="20"/>
          <w:szCs w:val="20"/>
        </w:rPr>
      </w:pPr>
    </w:p>
    <w:p w:rsidR="001008B4" w:rsidRPr="005B6E51" w:rsidRDefault="0059252A" w:rsidP="0059252A">
      <w:pPr>
        <w:autoSpaceDE w:val="0"/>
        <w:autoSpaceDN w:val="0"/>
        <w:adjustRightInd w:val="0"/>
        <w:jc w:val="left"/>
        <w:rPr>
          <w:rFonts w:ascii="Verdana" w:hAnsi="Verdana" w:cs="Times New Roman"/>
          <w:b/>
          <w:bCs/>
          <w:color w:val="000000"/>
          <w:sz w:val="20"/>
          <w:szCs w:val="20"/>
        </w:rPr>
      </w:pPr>
      <w:r w:rsidRPr="005B6E51">
        <w:rPr>
          <w:rFonts w:ascii="Verdana" w:hAnsi="Verdana" w:cs="Times New Roman"/>
          <w:b/>
          <w:bCs/>
          <w:color w:val="000000"/>
          <w:sz w:val="20"/>
          <w:szCs w:val="20"/>
        </w:rPr>
        <w:t xml:space="preserve">A New Approach: Strategic Alignment across Agencies </w:t>
      </w:r>
    </w:p>
    <w:p w:rsidR="00C92D0F" w:rsidRPr="005B6E51" w:rsidRDefault="00C92D0F" w:rsidP="0059252A">
      <w:pPr>
        <w:autoSpaceDE w:val="0"/>
        <w:autoSpaceDN w:val="0"/>
        <w:adjustRightInd w:val="0"/>
        <w:jc w:val="left"/>
        <w:rPr>
          <w:rFonts w:ascii="Verdana" w:hAnsi="Verdana" w:cs="Times New Roman"/>
          <w:color w:val="000000"/>
          <w:sz w:val="20"/>
          <w:szCs w:val="20"/>
        </w:rPr>
      </w:pPr>
    </w:p>
    <w:p w:rsidR="0059252A" w:rsidRPr="005B6E51" w:rsidRDefault="0059252A" w:rsidP="0059252A">
      <w:pPr>
        <w:autoSpaceDE w:val="0"/>
        <w:autoSpaceDN w:val="0"/>
        <w:adjustRightInd w:val="0"/>
        <w:jc w:val="left"/>
        <w:rPr>
          <w:rFonts w:ascii="Verdana" w:hAnsi="Verdana" w:cs="Times New Roman"/>
          <w:color w:val="000000"/>
          <w:sz w:val="20"/>
          <w:szCs w:val="20"/>
        </w:rPr>
      </w:pPr>
      <w:r w:rsidRPr="005B6E51">
        <w:rPr>
          <w:rFonts w:ascii="Verdana" w:hAnsi="Verdana" w:cs="Times New Roman"/>
          <w:color w:val="000000"/>
          <w:sz w:val="20"/>
          <w:szCs w:val="20"/>
        </w:rPr>
        <w:t xml:space="preserve">Our community is at a tipping point; by shifting the way services are currently delivered in Pinellas County, we would be able to achieve better outcomes without requesting additional dollars to do so. Our research on other communities in the United States indicates that success can be achieved through transparency, education, outcome measures and legislation. While this workgroup has provided the Board with specific interdepartmental </w:t>
      </w:r>
      <w:r w:rsidRPr="005B6E51">
        <w:rPr>
          <w:rFonts w:ascii="Verdana" w:hAnsi="Verdana" w:cs="Times New Roman"/>
          <w:color w:val="000000"/>
          <w:sz w:val="20"/>
          <w:szCs w:val="20"/>
        </w:rPr>
        <w:lastRenderedPageBreak/>
        <w:t xml:space="preserve">strategic initiatives that will produce desired outcomes in a separate document, the following are the guiding principles behind these suggestions: </w:t>
      </w:r>
    </w:p>
    <w:p w:rsidR="001008B4" w:rsidRPr="005B6E51" w:rsidRDefault="001008B4" w:rsidP="0059252A">
      <w:pPr>
        <w:autoSpaceDE w:val="0"/>
        <w:autoSpaceDN w:val="0"/>
        <w:adjustRightInd w:val="0"/>
        <w:jc w:val="left"/>
        <w:rPr>
          <w:rFonts w:ascii="Verdana" w:hAnsi="Verdana" w:cs="Times New Roman"/>
          <w:b/>
          <w:bCs/>
          <w:i/>
          <w:iCs/>
          <w:color w:val="000000"/>
          <w:sz w:val="20"/>
          <w:szCs w:val="20"/>
        </w:rPr>
      </w:pPr>
    </w:p>
    <w:p w:rsidR="0059252A" w:rsidRPr="005B6E51" w:rsidRDefault="0059252A" w:rsidP="0059252A">
      <w:pPr>
        <w:autoSpaceDE w:val="0"/>
        <w:autoSpaceDN w:val="0"/>
        <w:adjustRightInd w:val="0"/>
        <w:jc w:val="left"/>
        <w:rPr>
          <w:rFonts w:ascii="Verdana" w:hAnsi="Verdana" w:cs="Times New Roman"/>
          <w:color w:val="000000"/>
          <w:sz w:val="20"/>
          <w:szCs w:val="20"/>
        </w:rPr>
      </w:pPr>
      <w:r w:rsidRPr="005B6E51">
        <w:rPr>
          <w:rFonts w:ascii="Verdana" w:hAnsi="Verdana" w:cs="Times New Roman"/>
          <w:b/>
          <w:bCs/>
          <w:i/>
          <w:iCs/>
          <w:color w:val="000000"/>
          <w:sz w:val="20"/>
          <w:szCs w:val="20"/>
        </w:rPr>
        <w:t xml:space="preserve">Collaborating interdepartmentally and externally </w:t>
      </w:r>
    </w:p>
    <w:p w:rsidR="0059252A" w:rsidRPr="005B6E51" w:rsidRDefault="0059252A" w:rsidP="0059252A">
      <w:pPr>
        <w:autoSpaceDE w:val="0"/>
        <w:autoSpaceDN w:val="0"/>
        <w:adjustRightInd w:val="0"/>
        <w:jc w:val="left"/>
        <w:rPr>
          <w:rFonts w:ascii="Verdana" w:hAnsi="Verdana" w:cs="Times New Roman"/>
          <w:color w:val="000000"/>
          <w:sz w:val="20"/>
          <w:szCs w:val="20"/>
        </w:rPr>
      </w:pPr>
      <w:r w:rsidRPr="005B6E51">
        <w:rPr>
          <w:rFonts w:ascii="Verdana" w:hAnsi="Verdana" w:cs="Times New Roman"/>
          <w:color w:val="000000"/>
          <w:sz w:val="20"/>
          <w:szCs w:val="20"/>
        </w:rPr>
        <w:t xml:space="preserve">County departments and other local agencies currently invest their dollars on similar initiatives and populations. However, these services are not all connected, costing the county additional dollars while leaving gaps in the community. By collaborating on the same areas and developing services that complement each other, improved service quality can be achieved while reducing associated costs. Similarly, aligning strategies with other local community agencies will allow for improved access and streamlined service delivery without investing in additional dollars. By aligning the strategic initiatives of these agencies to focus on collaborating and co-locating services, we would be able to eliminate duplication and increase the quality of healthcare provided without increasing appropriated funds. Utilizing the same approach across all core areas the Board wishes to focus on, Pinellas County would be able to redistribute dollars within the community and improve service quality for all. </w:t>
      </w:r>
    </w:p>
    <w:p w:rsidR="001008B4" w:rsidRPr="005B6E51" w:rsidRDefault="001008B4" w:rsidP="0059252A">
      <w:pPr>
        <w:autoSpaceDE w:val="0"/>
        <w:autoSpaceDN w:val="0"/>
        <w:adjustRightInd w:val="0"/>
        <w:jc w:val="left"/>
        <w:rPr>
          <w:rFonts w:ascii="Verdana" w:hAnsi="Verdana" w:cs="Times New Roman"/>
          <w:b/>
          <w:bCs/>
          <w:i/>
          <w:iCs/>
          <w:color w:val="000000"/>
          <w:sz w:val="20"/>
          <w:szCs w:val="20"/>
        </w:rPr>
      </w:pPr>
    </w:p>
    <w:p w:rsidR="0059252A" w:rsidRPr="005B6E51" w:rsidRDefault="0059252A" w:rsidP="0059252A">
      <w:pPr>
        <w:autoSpaceDE w:val="0"/>
        <w:autoSpaceDN w:val="0"/>
        <w:adjustRightInd w:val="0"/>
        <w:jc w:val="left"/>
        <w:rPr>
          <w:rFonts w:ascii="Verdana" w:hAnsi="Verdana" w:cs="Times New Roman"/>
          <w:color w:val="000000"/>
          <w:sz w:val="20"/>
          <w:szCs w:val="20"/>
        </w:rPr>
      </w:pPr>
      <w:r w:rsidRPr="005B6E51">
        <w:rPr>
          <w:rFonts w:ascii="Verdana" w:hAnsi="Verdana" w:cs="Times New Roman"/>
          <w:b/>
          <w:bCs/>
          <w:i/>
          <w:iCs/>
          <w:color w:val="000000"/>
          <w:sz w:val="20"/>
          <w:szCs w:val="20"/>
        </w:rPr>
        <w:t xml:space="preserve">Co-locating services </w:t>
      </w:r>
    </w:p>
    <w:p w:rsidR="00720FEA" w:rsidRPr="005B6E51" w:rsidRDefault="0059252A" w:rsidP="00720FEA">
      <w:pPr>
        <w:autoSpaceDE w:val="0"/>
        <w:autoSpaceDN w:val="0"/>
        <w:adjustRightInd w:val="0"/>
        <w:jc w:val="left"/>
        <w:rPr>
          <w:rFonts w:ascii="Verdana" w:hAnsi="Verdana" w:cs="Times New Roman"/>
          <w:color w:val="000000"/>
          <w:sz w:val="20"/>
          <w:szCs w:val="20"/>
        </w:rPr>
      </w:pPr>
      <w:r w:rsidRPr="005B6E51">
        <w:rPr>
          <w:rFonts w:ascii="Verdana" w:hAnsi="Verdana" w:cs="Times New Roman"/>
          <w:color w:val="000000"/>
          <w:sz w:val="20"/>
          <w:szCs w:val="20"/>
        </w:rPr>
        <w:t xml:space="preserve">As previously expressed by the Department of Health and Human Services, co-locating service agencies allows for families and other residents to have better access to available resources, while increasing overall service delivery in the community. This workgroup believes co-locating services is key to obtaining improved outcomes without incurring additional costs. </w:t>
      </w:r>
    </w:p>
    <w:p w:rsidR="00720FEA" w:rsidRPr="005B6E51" w:rsidRDefault="00720FEA" w:rsidP="00720FEA">
      <w:pPr>
        <w:autoSpaceDE w:val="0"/>
        <w:autoSpaceDN w:val="0"/>
        <w:adjustRightInd w:val="0"/>
        <w:jc w:val="left"/>
        <w:rPr>
          <w:rFonts w:ascii="Verdana" w:hAnsi="Verdana" w:cs="Times New Roman"/>
          <w:color w:val="000000"/>
          <w:sz w:val="20"/>
          <w:szCs w:val="20"/>
        </w:rPr>
      </w:pPr>
    </w:p>
    <w:p w:rsidR="00720FEA" w:rsidRPr="005B6E51" w:rsidRDefault="0059252A" w:rsidP="00720FEA">
      <w:pPr>
        <w:autoSpaceDE w:val="0"/>
        <w:autoSpaceDN w:val="0"/>
        <w:adjustRightInd w:val="0"/>
        <w:jc w:val="left"/>
        <w:rPr>
          <w:rFonts w:ascii="Verdana" w:hAnsi="Verdana" w:cs="Times New Roman"/>
          <w:sz w:val="20"/>
          <w:szCs w:val="20"/>
        </w:rPr>
      </w:pPr>
      <w:r w:rsidRPr="005B6E51">
        <w:rPr>
          <w:rFonts w:ascii="Verdana" w:hAnsi="Verdana" w:cs="Times New Roman"/>
          <w:sz w:val="20"/>
          <w:szCs w:val="20"/>
        </w:rPr>
        <w:t xml:space="preserve">The first step in co-locating services is a “virtual co-location” through the implementation of improved technologies that share enrollment and client information. This will allow for multiple services to be accessible by residents within the first year of reorganizing agencies. The integration of these technologies has already begun through initiatives such as </w:t>
      </w:r>
      <w:r w:rsidR="00720FEA" w:rsidRPr="005B6E51">
        <w:rPr>
          <w:rFonts w:ascii="Verdana" w:hAnsi="Verdana" w:cs="Times New Roman"/>
          <w:sz w:val="20"/>
          <w:szCs w:val="20"/>
        </w:rPr>
        <w:t xml:space="preserve">our </w:t>
      </w:r>
      <w:r w:rsidRPr="005B6E51">
        <w:rPr>
          <w:rFonts w:ascii="Verdana" w:hAnsi="Verdana" w:cs="Times New Roman"/>
          <w:sz w:val="20"/>
          <w:szCs w:val="20"/>
        </w:rPr>
        <w:t xml:space="preserve">One-E-App and Health and Human Services’ CHEDAS system. Improved technological capabilities will also allow for the multiple agencies to provide access to the entire family unit at one location and dealing with bill payments “behind the scenes”. </w:t>
      </w:r>
    </w:p>
    <w:p w:rsidR="00720FEA" w:rsidRPr="005B6E51" w:rsidRDefault="00720FEA" w:rsidP="00720FEA">
      <w:pPr>
        <w:autoSpaceDE w:val="0"/>
        <w:autoSpaceDN w:val="0"/>
        <w:adjustRightInd w:val="0"/>
        <w:jc w:val="left"/>
        <w:rPr>
          <w:rFonts w:ascii="Verdana" w:hAnsi="Verdana" w:cs="Times New Roman"/>
          <w:sz w:val="20"/>
          <w:szCs w:val="20"/>
        </w:rPr>
      </w:pPr>
    </w:p>
    <w:p w:rsidR="0059252A" w:rsidRPr="005B6E51" w:rsidRDefault="0059252A" w:rsidP="00720FEA">
      <w:pPr>
        <w:autoSpaceDE w:val="0"/>
        <w:autoSpaceDN w:val="0"/>
        <w:adjustRightInd w:val="0"/>
        <w:jc w:val="left"/>
        <w:rPr>
          <w:rFonts w:ascii="Verdana" w:hAnsi="Verdana" w:cs="Times New Roman"/>
          <w:sz w:val="20"/>
          <w:szCs w:val="20"/>
        </w:rPr>
      </w:pPr>
      <w:r w:rsidRPr="005B6E51">
        <w:rPr>
          <w:rFonts w:ascii="Verdana" w:hAnsi="Verdana" w:cs="Times New Roman"/>
          <w:sz w:val="20"/>
          <w:szCs w:val="20"/>
        </w:rPr>
        <w:t xml:space="preserve">Following virtual co-location of services will be physically co-locating services through infrastructure that allows multiple agencies to be housed in the same location. Current and new facilities will be utilized to house multiple agency services, such as health and behavioral health care, workforce development, and other social services necessary to improve our client’s quality of life. </w:t>
      </w:r>
    </w:p>
    <w:p w:rsidR="001008B4" w:rsidRPr="005B6E51" w:rsidRDefault="001008B4" w:rsidP="0059252A">
      <w:pPr>
        <w:autoSpaceDE w:val="0"/>
        <w:autoSpaceDN w:val="0"/>
        <w:adjustRightInd w:val="0"/>
        <w:jc w:val="left"/>
        <w:rPr>
          <w:rFonts w:ascii="Verdana" w:hAnsi="Verdana" w:cs="Times New Roman"/>
          <w:b/>
          <w:bCs/>
          <w:i/>
          <w:iCs/>
          <w:color w:val="000000"/>
          <w:sz w:val="20"/>
          <w:szCs w:val="20"/>
        </w:rPr>
      </w:pPr>
    </w:p>
    <w:p w:rsidR="0059252A" w:rsidRPr="005B6E51" w:rsidRDefault="0059252A" w:rsidP="0059252A">
      <w:pPr>
        <w:autoSpaceDE w:val="0"/>
        <w:autoSpaceDN w:val="0"/>
        <w:adjustRightInd w:val="0"/>
        <w:jc w:val="left"/>
        <w:rPr>
          <w:rFonts w:ascii="Verdana" w:hAnsi="Verdana" w:cs="Times New Roman"/>
          <w:color w:val="000000"/>
          <w:sz w:val="20"/>
          <w:szCs w:val="20"/>
        </w:rPr>
      </w:pPr>
      <w:r w:rsidRPr="005B6E51">
        <w:rPr>
          <w:rFonts w:ascii="Verdana" w:hAnsi="Verdana" w:cs="Times New Roman"/>
          <w:b/>
          <w:bCs/>
          <w:i/>
          <w:iCs/>
          <w:color w:val="000000"/>
          <w:sz w:val="20"/>
          <w:szCs w:val="20"/>
        </w:rPr>
        <w:t xml:space="preserve">Shifting focus to prevention </w:t>
      </w:r>
    </w:p>
    <w:p w:rsidR="0059252A" w:rsidRPr="005B6E51" w:rsidRDefault="0059252A" w:rsidP="0059252A">
      <w:pPr>
        <w:autoSpaceDE w:val="0"/>
        <w:autoSpaceDN w:val="0"/>
        <w:adjustRightInd w:val="0"/>
        <w:jc w:val="left"/>
        <w:rPr>
          <w:rFonts w:ascii="Verdana" w:hAnsi="Verdana" w:cs="Times New Roman"/>
          <w:color w:val="000000"/>
          <w:sz w:val="20"/>
          <w:szCs w:val="20"/>
        </w:rPr>
      </w:pPr>
      <w:r w:rsidRPr="005B6E51">
        <w:rPr>
          <w:rFonts w:ascii="Verdana" w:hAnsi="Verdana" w:cs="Times New Roman"/>
          <w:color w:val="000000"/>
          <w:sz w:val="20"/>
          <w:szCs w:val="20"/>
        </w:rPr>
        <w:t xml:space="preserve">Preventive services are cost-saving and have significant, long-lasting gains. For example, incarcerating children costs 20 times more than enrolling them in pre-school ($88,000 a year per incarcerated child versus $4,212 per child enrolled in a Pre-K program – Juvenile Welfare Board). Additionally, Trust for America’s Health reported that strategically investing only $10 a person in disease prevention could result in a return on investment for Florida of up to $6.20 for every dollar spent in health care costs. The strategic initiatives proposed by the Departments of Health &amp; Human Services and Justice &amp; Consumer Services shift system focus to preventive measures that improve quality of life and overall outcomes, with programs that integrate primary and behavioral health care, education, and jail and homelessness diversion. Some of these initiatives have already begun, as is the case with the improvements to the integrated health care delivery system spearheaded by Health and Human Services, the Health Department, and the Juvenile Welfare Board, which has over 25 community partners involved in delivering care to Pinellas County’s low-income population, </w:t>
      </w:r>
      <w:r w:rsidRPr="005B6E51">
        <w:rPr>
          <w:rFonts w:ascii="Verdana" w:hAnsi="Verdana" w:cs="Times New Roman"/>
          <w:color w:val="000000"/>
          <w:sz w:val="20"/>
          <w:szCs w:val="20"/>
        </w:rPr>
        <w:lastRenderedPageBreak/>
        <w:t xml:space="preserve">as well as juvenile justice reforms to reduce detention use spearheaded by Justice and Consumer Services. </w:t>
      </w:r>
    </w:p>
    <w:p w:rsidR="00720FEA" w:rsidRPr="005B6E51" w:rsidRDefault="00720FEA" w:rsidP="0059252A">
      <w:pPr>
        <w:jc w:val="left"/>
        <w:rPr>
          <w:rFonts w:ascii="Verdana" w:hAnsi="Verdana" w:cs="Times New Roman"/>
          <w:color w:val="000000"/>
          <w:sz w:val="20"/>
          <w:szCs w:val="20"/>
        </w:rPr>
      </w:pPr>
    </w:p>
    <w:p w:rsidR="00146CF5" w:rsidRPr="005B6E51" w:rsidRDefault="0059252A" w:rsidP="0059252A">
      <w:pPr>
        <w:jc w:val="left"/>
        <w:rPr>
          <w:rFonts w:ascii="Verdana" w:hAnsi="Verdana" w:cs="Times New Roman"/>
          <w:sz w:val="20"/>
          <w:szCs w:val="20"/>
        </w:rPr>
      </w:pPr>
      <w:r w:rsidRPr="005B6E51">
        <w:rPr>
          <w:rFonts w:ascii="Verdana" w:hAnsi="Verdana" w:cs="Times New Roman"/>
          <w:color w:val="000000"/>
          <w:sz w:val="20"/>
          <w:szCs w:val="20"/>
        </w:rPr>
        <w:t>While the Board does not control all entities involved in providing services to the communities in need within Pinellas County, they do have the ability to establish policies and ordinances that assist their implementation. This, combined with the power to engage cities and other boards in discussions to align community efforts strategically, will ensure that Pinellas County becomes a healthier community for all its constituents – regardless of where they live.</w:t>
      </w:r>
    </w:p>
    <w:p w:rsidR="001008B4" w:rsidRPr="005B6E51" w:rsidRDefault="001008B4" w:rsidP="00BE213B">
      <w:pPr>
        <w:jc w:val="left"/>
        <w:rPr>
          <w:rFonts w:ascii="Verdana" w:hAnsi="Verdana" w:cs="Times New Roman"/>
          <w:sz w:val="20"/>
          <w:szCs w:val="20"/>
          <w:u w:val="single"/>
        </w:rPr>
      </w:pPr>
    </w:p>
    <w:p w:rsidR="003203AB" w:rsidRPr="005B6E51" w:rsidRDefault="003203AB" w:rsidP="00BE213B">
      <w:pPr>
        <w:jc w:val="left"/>
        <w:rPr>
          <w:rFonts w:ascii="Verdana" w:hAnsi="Verdana" w:cs="Times New Roman"/>
          <w:sz w:val="20"/>
          <w:szCs w:val="20"/>
          <w:u w:val="single"/>
        </w:rPr>
      </w:pPr>
      <w:r w:rsidRPr="005B6E51">
        <w:rPr>
          <w:rFonts w:ascii="Verdana" w:hAnsi="Verdana" w:cs="Times New Roman"/>
          <w:sz w:val="20"/>
          <w:szCs w:val="20"/>
          <w:u w:val="single"/>
        </w:rPr>
        <w:t>Costs, if any</w:t>
      </w:r>
    </w:p>
    <w:p w:rsidR="00811C24" w:rsidRPr="005B6E51" w:rsidRDefault="00811C24" w:rsidP="00BE213B">
      <w:pPr>
        <w:jc w:val="left"/>
        <w:rPr>
          <w:rFonts w:ascii="Verdana" w:hAnsi="Verdana" w:cs="Times New Roman"/>
          <w:sz w:val="20"/>
          <w:szCs w:val="20"/>
        </w:rPr>
      </w:pPr>
      <w:r w:rsidRPr="005B6E51">
        <w:rPr>
          <w:rFonts w:ascii="Verdana" w:hAnsi="Verdana" w:cs="Times New Roman"/>
          <w:sz w:val="20"/>
          <w:szCs w:val="20"/>
        </w:rPr>
        <w:t xml:space="preserve">While grants and other resources will be pursued in order to further efforts, the alignment </w:t>
      </w:r>
      <w:r w:rsidR="00720FEA" w:rsidRPr="005B6E51">
        <w:rPr>
          <w:rFonts w:ascii="Verdana" w:hAnsi="Verdana" w:cs="Times New Roman"/>
          <w:sz w:val="20"/>
          <w:szCs w:val="20"/>
        </w:rPr>
        <w:t>plann</w:t>
      </w:r>
      <w:r w:rsidRPr="005B6E51">
        <w:rPr>
          <w:rFonts w:ascii="Verdana" w:hAnsi="Verdana" w:cs="Times New Roman"/>
          <w:sz w:val="20"/>
          <w:szCs w:val="20"/>
        </w:rPr>
        <w:t>ing and efforts across departments and across systems allows for more effective approaches to addressing problems with little or no change to cost.</w:t>
      </w:r>
    </w:p>
    <w:p w:rsidR="00146CF5" w:rsidRPr="005B6E51" w:rsidRDefault="00146CF5" w:rsidP="00073264">
      <w:pPr>
        <w:pStyle w:val="ListParagraph"/>
        <w:jc w:val="left"/>
        <w:rPr>
          <w:rFonts w:ascii="Verdana" w:hAnsi="Verdana" w:cs="Times New Roman"/>
          <w:sz w:val="20"/>
          <w:szCs w:val="20"/>
        </w:rPr>
      </w:pPr>
    </w:p>
    <w:p w:rsidR="003203AB" w:rsidRPr="005B6E51" w:rsidRDefault="003203AB" w:rsidP="00BE213B">
      <w:pPr>
        <w:jc w:val="left"/>
        <w:rPr>
          <w:rFonts w:ascii="Verdana" w:hAnsi="Verdana" w:cs="Times New Roman"/>
          <w:sz w:val="20"/>
          <w:szCs w:val="20"/>
          <w:u w:val="single"/>
        </w:rPr>
      </w:pPr>
      <w:r w:rsidRPr="005B6E51">
        <w:rPr>
          <w:rFonts w:ascii="Verdana" w:hAnsi="Verdana" w:cs="Times New Roman"/>
          <w:sz w:val="20"/>
          <w:szCs w:val="20"/>
          <w:u w:val="single"/>
        </w:rPr>
        <w:t>Savings, if any</w:t>
      </w:r>
    </w:p>
    <w:p w:rsidR="00811C24" w:rsidRPr="005B6E51" w:rsidRDefault="00811C24" w:rsidP="00BE213B">
      <w:pPr>
        <w:jc w:val="left"/>
        <w:rPr>
          <w:rFonts w:ascii="Verdana" w:hAnsi="Verdana" w:cs="Times New Roman"/>
          <w:sz w:val="20"/>
          <w:szCs w:val="20"/>
        </w:rPr>
      </w:pPr>
      <w:r w:rsidRPr="005B6E51">
        <w:rPr>
          <w:rFonts w:ascii="Verdana" w:hAnsi="Verdana" w:cs="Times New Roman"/>
          <w:sz w:val="20"/>
          <w:szCs w:val="20"/>
        </w:rPr>
        <w:t>Savings can be expected across systems through the coordin</w:t>
      </w:r>
      <w:r w:rsidR="00930C7B" w:rsidRPr="005B6E51">
        <w:rPr>
          <w:rFonts w:ascii="Verdana" w:hAnsi="Verdana" w:cs="Times New Roman"/>
          <w:sz w:val="20"/>
          <w:szCs w:val="20"/>
        </w:rPr>
        <w:t xml:space="preserve">ated approach. </w:t>
      </w:r>
      <w:r w:rsidR="00EC255A" w:rsidRPr="005B6E51">
        <w:rPr>
          <w:rFonts w:ascii="Verdana" w:hAnsi="Verdana" w:cs="Times New Roman"/>
          <w:sz w:val="20"/>
          <w:szCs w:val="20"/>
        </w:rPr>
        <w:t>For example, a</w:t>
      </w:r>
      <w:r w:rsidRPr="005B6E51">
        <w:rPr>
          <w:rFonts w:ascii="Verdana" w:hAnsi="Verdana" w:cs="Times New Roman"/>
          <w:sz w:val="20"/>
          <w:szCs w:val="20"/>
        </w:rPr>
        <w:t xml:space="preserve">ddressing needs within the community and stabilizing individuals can greatly reduce recidivism and ongoing criminal justice costs.  </w:t>
      </w:r>
    </w:p>
    <w:p w:rsidR="00146CF5" w:rsidRPr="005B6E51" w:rsidRDefault="00146CF5" w:rsidP="00073264">
      <w:pPr>
        <w:pStyle w:val="ListParagraph"/>
        <w:jc w:val="left"/>
        <w:rPr>
          <w:rFonts w:ascii="Verdana" w:hAnsi="Verdana" w:cs="Times New Roman"/>
          <w:sz w:val="20"/>
          <w:szCs w:val="20"/>
        </w:rPr>
      </w:pPr>
    </w:p>
    <w:p w:rsidR="003203AB" w:rsidRPr="005B6E51" w:rsidRDefault="003203AB" w:rsidP="00BE213B">
      <w:pPr>
        <w:jc w:val="left"/>
        <w:rPr>
          <w:rFonts w:ascii="Verdana" w:hAnsi="Verdana" w:cs="Times New Roman"/>
          <w:sz w:val="20"/>
          <w:szCs w:val="20"/>
          <w:u w:val="single"/>
        </w:rPr>
      </w:pPr>
      <w:r w:rsidRPr="005B6E51">
        <w:rPr>
          <w:rFonts w:ascii="Verdana" w:hAnsi="Verdana" w:cs="Times New Roman"/>
          <w:sz w:val="20"/>
          <w:szCs w:val="20"/>
          <w:u w:val="single"/>
        </w:rPr>
        <w:t>Identify innovative characteristics and explain how they improved the organization</w:t>
      </w:r>
    </w:p>
    <w:p w:rsidR="002A7A4F" w:rsidRPr="005B6E51" w:rsidRDefault="002A7A4F" w:rsidP="00BE213B">
      <w:pPr>
        <w:jc w:val="left"/>
        <w:rPr>
          <w:rFonts w:ascii="Verdana" w:hAnsi="Verdana" w:cs="Times New Roman"/>
          <w:sz w:val="20"/>
          <w:szCs w:val="20"/>
        </w:rPr>
      </w:pPr>
      <w:r w:rsidRPr="005B6E51">
        <w:rPr>
          <w:rFonts w:ascii="Verdana" w:hAnsi="Verdana" w:cs="Times New Roman"/>
          <w:sz w:val="20"/>
          <w:szCs w:val="20"/>
        </w:rPr>
        <w:t>The collaboration of various departments has provided opportunity to enhance the services and leverage the amount of funding and services that can be provided.  For example, Community Development provides the funding for bricks and mortar to meet the needs of the low income families and H</w:t>
      </w:r>
      <w:r w:rsidR="00EC255A" w:rsidRPr="005B6E51">
        <w:rPr>
          <w:rFonts w:ascii="Verdana" w:hAnsi="Verdana" w:cs="Times New Roman"/>
          <w:sz w:val="20"/>
          <w:szCs w:val="20"/>
        </w:rPr>
        <w:t>ealth &amp; Human Services</w:t>
      </w:r>
      <w:r w:rsidRPr="005B6E51">
        <w:rPr>
          <w:rFonts w:ascii="Verdana" w:hAnsi="Verdana" w:cs="Times New Roman"/>
          <w:sz w:val="20"/>
          <w:szCs w:val="20"/>
        </w:rPr>
        <w:t xml:space="preserve"> providing the services that allow </w:t>
      </w:r>
      <w:r w:rsidR="00EC255A" w:rsidRPr="005B6E51">
        <w:rPr>
          <w:rFonts w:ascii="Verdana" w:hAnsi="Verdana" w:cs="Times New Roman"/>
          <w:sz w:val="20"/>
          <w:szCs w:val="20"/>
        </w:rPr>
        <w:t>them</w:t>
      </w:r>
      <w:r w:rsidRPr="005B6E51">
        <w:rPr>
          <w:rFonts w:ascii="Verdana" w:hAnsi="Verdana" w:cs="Times New Roman"/>
          <w:sz w:val="20"/>
          <w:szCs w:val="20"/>
        </w:rPr>
        <w:t xml:space="preserve"> to succeed.</w:t>
      </w:r>
    </w:p>
    <w:p w:rsidR="00146CF5" w:rsidRPr="005B6E51" w:rsidRDefault="00146CF5" w:rsidP="00796E80">
      <w:pPr>
        <w:jc w:val="left"/>
        <w:rPr>
          <w:rFonts w:ascii="Verdana" w:hAnsi="Verdana" w:cs="Times New Roman"/>
          <w:sz w:val="20"/>
          <w:szCs w:val="20"/>
          <w:u w:val="single"/>
        </w:rPr>
      </w:pPr>
    </w:p>
    <w:p w:rsidR="003203AB" w:rsidRPr="005B6E51" w:rsidRDefault="003203AB" w:rsidP="00BE213B">
      <w:pPr>
        <w:jc w:val="left"/>
        <w:rPr>
          <w:rFonts w:ascii="Verdana" w:hAnsi="Verdana" w:cs="Times New Roman"/>
          <w:sz w:val="20"/>
          <w:szCs w:val="20"/>
          <w:u w:val="single"/>
        </w:rPr>
      </w:pPr>
      <w:r w:rsidRPr="005B6E51">
        <w:rPr>
          <w:rFonts w:ascii="Verdana" w:hAnsi="Verdana" w:cs="Times New Roman"/>
          <w:sz w:val="20"/>
          <w:szCs w:val="20"/>
          <w:u w:val="single"/>
        </w:rPr>
        <w:t>Obstacles, if any</w:t>
      </w:r>
    </w:p>
    <w:p w:rsidR="00811C24" w:rsidRPr="005B6E51" w:rsidRDefault="00EC255A" w:rsidP="00811C24">
      <w:pPr>
        <w:jc w:val="left"/>
        <w:rPr>
          <w:rFonts w:ascii="Verdana" w:hAnsi="Verdana" w:cs="Times New Roman"/>
          <w:sz w:val="20"/>
          <w:szCs w:val="20"/>
        </w:rPr>
      </w:pPr>
      <w:r w:rsidRPr="005B6E51">
        <w:rPr>
          <w:rFonts w:ascii="Verdana" w:hAnsi="Verdana" w:cs="Times New Roman"/>
          <w:sz w:val="20"/>
          <w:szCs w:val="20"/>
        </w:rPr>
        <w:t>Continued o</w:t>
      </w:r>
      <w:r w:rsidR="00811C24" w:rsidRPr="005B6E51">
        <w:rPr>
          <w:rFonts w:ascii="Verdana" w:hAnsi="Verdana" w:cs="Times New Roman"/>
          <w:sz w:val="20"/>
          <w:szCs w:val="20"/>
        </w:rPr>
        <w:t xml:space="preserve">bstacles </w:t>
      </w:r>
      <w:r w:rsidRPr="005B6E51">
        <w:rPr>
          <w:rFonts w:ascii="Verdana" w:hAnsi="Verdana" w:cs="Times New Roman"/>
          <w:sz w:val="20"/>
          <w:szCs w:val="20"/>
        </w:rPr>
        <w:t>are</w:t>
      </w:r>
      <w:r w:rsidR="00930C7B" w:rsidRPr="005B6E51">
        <w:rPr>
          <w:rFonts w:ascii="Verdana" w:hAnsi="Verdana" w:cs="Times New Roman"/>
          <w:sz w:val="20"/>
          <w:szCs w:val="20"/>
        </w:rPr>
        <w:t xml:space="preserve"> education and change. </w:t>
      </w:r>
      <w:r w:rsidR="00811C24" w:rsidRPr="005B6E51">
        <w:rPr>
          <w:rFonts w:ascii="Verdana" w:hAnsi="Verdana" w:cs="Times New Roman"/>
          <w:sz w:val="20"/>
          <w:szCs w:val="20"/>
        </w:rPr>
        <w:t>Changing the basic methods of doing b</w:t>
      </w:r>
      <w:r w:rsidR="00930C7B" w:rsidRPr="005B6E51">
        <w:rPr>
          <w:rFonts w:ascii="Verdana" w:hAnsi="Verdana" w:cs="Times New Roman"/>
          <w:sz w:val="20"/>
          <w:szCs w:val="20"/>
        </w:rPr>
        <w:t xml:space="preserve">usiness can create resistance. </w:t>
      </w:r>
      <w:r w:rsidR="00811C24" w:rsidRPr="005B6E51">
        <w:rPr>
          <w:rFonts w:ascii="Verdana" w:hAnsi="Verdana" w:cs="Times New Roman"/>
          <w:sz w:val="20"/>
          <w:szCs w:val="20"/>
        </w:rPr>
        <w:t>Status quo is often easier.</w:t>
      </w:r>
    </w:p>
    <w:p w:rsidR="00146CF5" w:rsidRPr="005B6E51" w:rsidRDefault="00146CF5" w:rsidP="002B3B2E">
      <w:pPr>
        <w:jc w:val="left"/>
        <w:rPr>
          <w:rFonts w:ascii="Verdana" w:hAnsi="Verdana" w:cs="Times New Roman"/>
          <w:sz w:val="20"/>
          <w:szCs w:val="20"/>
        </w:rPr>
      </w:pPr>
    </w:p>
    <w:p w:rsidR="003203AB" w:rsidRPr="005B6E51" w:rsidRDefault="003203AB" w:rsidP="00BE213B">
      <w:pPr>
        <w:jc w:val="left"/>
        <w:rPr>
          <w:rFonts w:ascii="Verdana" w:hAnsi="Verdana" w:cs="Times New Roman"/>
          <w:sz w:val="20"/>
          <w:szCs w:val="20"/>
          <w:u w:val="single"/>
        </w:rPr>
      </w:pPr>
      <w:r w:rsidRPr="005B6E51">
        <w:rPr>
          <w:rFonts w:ascii="Verdana" w:hAnsi="Verdana" w:cs="Times New Roman"/>
          <w:sz w:val="20"/>
          <w:szCs w:val="20"/>
          <w:u w:val="single"/>
        </w:rPr>
        <w:t>Outcomes – cost savings, for citizens, any performance measures information, etc.</w:t>
      </w:r>
    </w:p>
    <w:p w:rsidR="00811C24" w:rsidRPr="005B6E51" w:rsidRDefault="00811C24" w:rsidP="00811C24">
      <w:pPr>
        <w:pStyle w:val="ListParagraph"/>
        <w:numPr>
          <w:ilvl w:val="0"/>
          <w:numId w:val="5"/>
        </w:numPr>
        <w:jc w:val="left"/>
        <w:rPr>
          <w:rFonts w:ascii="Verdana" w:hAnsi="Verdana" w:cs="Times New Roman"/>
          <w:sz w:val="20"/>
          <w:szCs w:val="20"/>
        </w:rPr>
      </w:pPr>
      <w:r w:rsidRPr="005B6E51">
        <w:rPr>
          <w:rFonts w:ascii="Verdana" w:hAnsi="Verdana" w:cs="Times New Roman"/>
          <w:sz w:val="20"/>
          <w:szCs w:val="20"/>
        </w:rPr>
        <w:t>Reduced recidivism</w:t>
      </w:r>
    </w:p>
    <w:p w:rsidR="00811C24" w:rsidRPr="005B6E51" w:rsidRDefault="00811C24" w:rsidP="00811C24">
      <w:pPr>
        <w:pStyle w:val="ListParagraph"/>
        <w:numPr>
          <w:ilvl w:val="0"/>
          <w:numId w:val="5"/>
        </w:numPr>
        <w:jc w:val="left"/>
        <w:rPr>
          <w:rFonts w:ascii="Verdana" w:hAnsi="Verdana" w:cs="Times New Roman"/>
          <w:sz w:val="20"/>
          <w:szCs w:val="20"/>
        </w:rPr>
      </w:pPr>
      <w:r w:rsidRPr="005B6E51">
        <w:rPr>
          <w:rFonts w:ascii="Verdana" w:hAnsi="Verdana" w:cs="Times New Roman"/>
          <w:sz w:val="20"/>
          <w:szCs w:val="20"/>
        </w:rPr>
        <w:t>Reduced justice system involvement for various social concerns(mental health, substance abuse, housing, and other barriers)</w:t>
      </w:r>
    </w:p>
    <w:p w:rsidR="00811C24" w:rsidRPr="005B6E51" w:rsidRDefault="00811C24" w:rsidP="00811C24">
      <w:pPr>
        <w:pStyle w:val="ListParagraph"/>
        <w:numPr>
          <w:ilvl w:val="0"/>
          <w:numId w:val="5"/>
        </w:numPr>
        <w:jc w:val="left"/>
        <w:rPr>
          <w:rFonts w:ascii="Verdana" w:hAnsi="Verdana" w:cs="Times New Roman"/>
          <w:sz w:val="20"/>
          <w:szCs w:val="20"/>
        </w:rPr>
      </w:pPr>
      <w:r w:rsidRPr="005B6E51">
        <w:rPr>
          <w:rFonts w:ascii="Verdana" w:hAnsi="Verdana" w:cs="Times New Roman"/>
          <w:sz w:val="20"/>
          <w:szCs w:val="20"/>
        </w:rPr>
        <w:t>More efficient and effective justice system</w:t>
      </w:r>
    </w:p>
    <w:p w:rsidR="00811C24" w:rsidRPr="005B6E51" w:rsidRDefault="00811C24" w:rsidP="00811C24">
      <w:pPr>
        <w:pStyle w:val="ListParagraph"/>
        <w:numPr>
          <w:ilvl w:val="0"/>
          <w:numId w:val="5"/>
        </w:numPr>
        <w:jc w:val="left"/>
        <w:rPr>
          <w:rFonts w:ascii="Verdana" w:hAnsi="Verdana" w:cs="Times New Roman"/>
          <w:sz w:val="20"/>
          <w:szCs w:val="20"/>
        </w:rPr>
      </w:pPr>
      <w:r w:rsidRPr="005B6E51">
        <w:rPr>
          <w:rFonts w:ascii="Verdana" w:hAnsi="Verdana" w:cs="Times New Roman"/>
          <w:sz w:val="20"/>
          <w:szCs w:val="20"/>
        </w:rPr>
        <w:t>Stronger community connections</w:t>
      </w:r>
    </w:p>
    <w:p w:rsidR="00811C24" w:rsidRPr="005B6E51" w:rsidRDefault="00811C24" w:rsidP="00811C24">
      <w:pPr>
        <w:pStyle w:val="ListParagraph"/>
        <w:numPr>
          <w:ilvl w:val="0"/>
          <w:numId w:val="5"/>
        </w:numPr>
        <w:jc w:val="left"/>
        <w:rPr>
          <w:rFonts w:ascii="Verdana" w:hAnsi="Verdana" w:cs="Times New Roman"/>
          <w:sz w:val="20"/>
          <w:szCs w:val="20"/>
          <w:u w:val="single"/>
        </w:rPr>
      </w:pPr>
      <w:r w:rsidRPr="005B6E51">
        <w:rPr>
          <w:rFonts w:ascii="Verdana" w:hAnsi="Verdana" w:cs="Times New Roman"/>
          <w:sz w:val="20"/>
          <w:szCs w:val="20"/>
        </w:rPr>
        <w:t>Stronger families</w:t>
      </w:r>
    </w:p>
    <w:p w:rsidR="00EC255A" w:rsidRPr="005B6E51" w:rsidRDefault="00EC255A" w:rsidP="00811C24">
      <w:pPr>
        <w:pStyle w:val="ListParagraph"/>
        <w:numPr>
          <w:ilvl w:val="0"/>
          <w:numId w:val="5"/>
        </w:numPr>
        <w:jc w:val="left"/>
        <w:rPr>
          <w:rFonts w:ascii="Verdana" w:hAnsi="Verdana" w:cs="Times New Roman"/>
          <w:sz w:val="20"/>
          <w:szCs w:val="20"/>
          <w:u w:val="single"/>
        </w:rPr>
      </w:pPr>
      <w:r w:rsidRPr="005B6E51">
        <w:rPr>
          <w:rFonts w:ascii="Verdana" w:hAnsi="Verdana" w:cs="Times New Roman"/>
          <w:sz w:val="20"/>
          <w:szCs w:val="20"/>
        </w:rPr>
        <w:t>Access to health and social services</w:t>
      </w:r>
    </w:p>
    <w:p w:rsidR="0049164D" w:rsidRPr="005B6E51" w:rsidRDefault="0049164D" w:rsidP="00BE213B">
      <w:pPr>
        <w:jc w:val="left"/>
        <w:rPr>
          <w:rFonts w:ascii="Verdana" w:hAnsi="Verdana" w:cs="Times New Roman"/>
          <w:sz w:val="20"/>
          <w:szCs w:val="20"/>
        </w:rPr>
      </w:pPr>
    </w:p>
    <w:p w:rsidR="003203AB" w:rsidRPr="005B6E51" w:rsidRDefault="003203AB" w:rsidP="00BE213B">
      <w:pPr>
        <w:jc w:val="left"/>
        <w:rPr>
          <w:rFonts w:ascii="Verdana" w:hAnsi="Verdana" w:cs="Times New Roman"/>
          <w:sz w:val="20"/>
          <w:szCs w:val="20"/>
          <w:u w:val="single"/>
        </w:rPr>
      </w:pPr>
      <w:r w:rsidRPr="005B6E51">
        <w:rPr>
          <w:rFonts w:ascii="Verdana" w:hAnsi="Verdana" w:cs="Times New Roman"/>
          <w:sz w:val="20"/>
          <w:szCs w:val="20"/>
          <w:u w:val="single"/>
        </w:rPr>
        <w:t>Applicable results and real world practicality</w:t>
      </w:r>
    </w:p>
    <w:p w:rsidR="00146CF5" w:rsidRPr="005B6E51" w:rsidRDefault="00796E80" w:rsidP="00B44EBE">
      <w:pPr>
        <w:jc w:val="left"/>
        <w:rPr>
          <w:rFonts w:ascii="Verdana" w:hAnsi="Verdana" w:cs="Times New Roman"/>
          <w:sz w:val="20"/>
          <w:szCs w:val="20"/>
        </w:rPr>
      </w:pPr>
      <w:r w:rsidRPr="005B6E51">
        <w:rPr>
          <w:rFonts w:ascii="Verdana" w:hAnsi="Verdana" w:cs="Times New Roman"/>
          <w:sz w:val="20"/>
          <w:szCs w:val="20"/>
        </w:rPr>
        <w:t xml:space="preserve">There is no single cause and no simple solution to the challenges facing distressed communities and individuals. </w:t>
      </w:r>
      <w:r w:rsidR="007E1435" w:rsidRPr="005B6E51">
        <w:rPr>
          <w:rFonts w:ascii="Verdana" w:hAnsi="Verdana" w:cs="Times New Roman"/>
          <w:sz w:val="20"/>
          <w:szCs w:val="20"/>
        </w:rPr>
        <w:t>D</w:t>
      </w:r>
      <w:r w:rsidRPr="005B6E51">
        <w:rPr>
          <w:rFonts w:ascii="Verdana" w:hAnsi="Verdana" w:cs="Times New Roman"/>
          <w:sz w:val="20"/>
          <w:szCs w:val="20"/>
        </w:rPr>
        <w:t>isadvantaged citizens are mired in “vicious feedback loops” that drive them into a quality of life below the standards of healthy vitality necessary to be productive and self-sufficient. Healthy Communities is a transformation from a government-centric to a community-centric model recognizing that while county government has an important role to play; it must play it within the context of a broader network of collaborative partners.</w:t>
      </w:r>
    </w:p>
    <w:p w:rsidR="007E1435" w:rsidRPr="005B6E51" w:rsidRDefault="007E1435" w:rsidP="00B44EBE">
      <w:pPr>
        <w:jc w:val="left"/>
        <w:rPr>
          <w:rFonts w:ascii="Verdana" w:hAnsi="Verdana" w:cs="Times New Roman"/>
          <w:sz w:val="20"/>
          <w:szCs w:val="20"/>
        </w:rPr>
      </w:pPr>
    </w:p>
    <w:p w:rsidR="007E1435" w:rsidRPr="005B6E51" w:rsidRDefault="007E1435" w:rsidP="007E1435">
      <w:pPr>
        <w:jc w:val="left"/>
        <w:rPr>
          <w:rFonts w:ascii="Verdana" w:hAnsi="Verdana" w:cs="Times New Roman"/>
          <w:sz w:val="20"/>
          <w:szCs w:val="20"/>
        </w:rPr>
      </w:pPr>
      <w:r w:rsidRPr="005B6E51">
        <w:rPr>
          <w:rFonts w:ascii="Verdana" w:hAnsi="Verdana" w:cs="Times New Roman"/>
          <w:sz w:val="20"/>
          <w:szCs w:val="20"/>
        </w:rPr>
        <w:t xml:space="preserve">Pinellas County has done a significant amount of research on the economic impact of poverty within its region and how to tackle the problems facing at-risk areas by implementing a new, collaborative strategy to make these neighborhoods safer, healthier and stronger communities which, in effect, will reduce crime and avoid further erosion. In </w:t>
      </w:r>
      <w:r w:rsidRPr="005B6E51">
        <w:rPr>
          <w:rFonts w:ascii="Verdana" w:hAnsi="Verdana" w:cs="Times New Roman"/>
          <w:sz w:val="20"/>
          <w:szCs w:val="20"/>
        </w:rPr>
        <w:lastRenderedPageBreak/>
        <w:t>addition, the county has recently undertaken a series of planning discussions to define core strategic initiatives for cross-departmental and cross-agency collaboration.  This project is geared towards a community-based approach to target disparities in at-risk communities suffering from significant poverty, insufficient transportation, poor access to healthcare and food stores, and significant blight and recidivism.  These at-risk communities tend to be the most costly to government resources when not addressed effectively.</w:t>
      </w:r>
    </w:p>
    <w:p w:rsidR="007E1435" w:rsidRPr="005B6E51" w:rsidRDefault="007E1435" w:rsidP="007E1435">
      <w:pPr>
        <w:jc w:val="left"/>
        <w:rPr>
          <w:rFonts w:ascii="Verdana" w:hAnsi="Verdana" w:cs="Times New Roman"/>
          <w:sz w:val="20"/>
          <w:szCs w:val="20"/>
          <w:u w:val="single"/>
        </w:rPr>
      </w:pPr>
    </w:p>
    <w:p w:rsidR="007E1435" w:rsidRPr="005B6E51" w:rsidRDefault="007E1435" w:rsidP="007E1435">
      <w:pPr>
        <w:jc w:val="left"/>
        <w:rPr>
          <w:rFonts w:ascii="Verdana" w:hAnsi="Verdana" w:cs="Times New Roman"/>
          <w:sz w:val="20"/>
          <w:szCs w:val="20"/>
        </w:rPr>
      </w:pPr>
      <w:r w:rsidRPr="005B6E51">
        <w:rPr>
          <w:rFonts w:ascii="Verdana" w:hAnsi="Verdana" w:cs="Times New Roman"/>
          <w:sz w:val="20"/>
          <w:szCs w:val="20"/>
        </w:rPr>
        <w:t>Persons living in poverty are more likely to suffer from poor health, affecting the overall quality of life and well-being in the community. Poorer health outcomes translate into dollars lost in a community because of loss in productivity, unemployment, and shorter life expectancy. Individuals with limited access to healthcare not only utilize the emergency room (ER) for primary care, but also have higher rates of chronic disease</w:t>
      </w:r>
      <w:r w:rsidRPr="005B6E51">
        <w:rPr>
          <w:rFonts w:ascii="Verdana" w:hAnsi="Verdana"/>
          <w:sz w:val="20"/>
          <w:szCs w:val="20"/>
        </w:rPr>
        <w:t>.</w:t>
      </w:r>
    </w:p>
    <w:p w:rsidR="0049164D" w:rsidRPr="005B6E51" w:rsidRDefault="0049164D" w:rsidP="003203AB">
      <w:pPr>
        <w:pStyle w:val="ListParagraph"/>
        <w:jc w:val="left"/>
        <w:rPr>
          <w:rFonts w:ascii="Verdana" w:hAnsi="Verdana" w:cs="Times New Roman"/>
          <w:sz w:val="20"/>
          <w:szCs w:val="20"/>
          <w:u w:val="single"/>
        </w:rPr>
      </w:pPr>
    </w:p>
    <w:p w:rsidR="00146CF5" w:rsidRPr="005B6E51" w:rsidRDefault="003203AB" w:rsidP="00BE213B">
      <w:pPr>
        <w:jc w:val="left"/>
        <w:rPr>
          <w:rFonts w:ascii="Verdana" w:hAnsi="Verdana" w:cs="Times New Roman"/>
          <w:sz w:val="20"/>
          <w:szCs w:val="20"/>
          <w:u w:val="single"/>
        </w:rPr>
      </w:pPr>
      <w:r w:rsidRPr="005B6E51">
        <w:rPr>
          <w:rFonts w:ascii="Verdana" w:hAnsi="Verdana" w:cs="Times New Roman"/>
          <w:sz w:val="20"/>
          <w:szCs w:val="20"/>
          <w:u w:val="single"/>
        </w:rPr>
        <w:t xml:space="preserve">Was a private consultant used? If yes, describe involvement and identify </w:t>
      </w:r>
    </w:p>
    <w:p w:rsidR="006C1461" w:rsidRPr="005B6E51" w:rsidRDefault="006C1461" w:rsidP="00BE213B">
      <w:pPr>
        <w:jc w:val="left"/>
        <w:rPr>
          <w:rFonts w:ascii="Verdana" w:hAnsi="Verdana" w:cs="Times New Roman"/>
          <w:sz w:val="20"/>
          <w:szCs w:val="20"/>
        </w:rPr>
      </w:pPr>
      <w:r w:rsidRPr="005B6E51">
        <w:rPr>
          <w:rFonts w:ascii="Verdana" w:hAnsi="Verdana" w:cs="Times New Roman"/>
          <w:sz w:val="20"/>
          <w:szCs w:val="20"/>
        </w:rPr>
        <w:t xml:space="preserve">No, </w:t>
      </w:r>
      <w:r w:rsidR="00EC255A" w:rsidRPr="005B6E51">
        <w:rPr>
          <w:rFonts w:ascii="Verdana" w:hAnsi="Verdana" w:cs="Times New Roman"/>
          <w:sz w:val="20"/>
          <w:szCs w:val="20"/>
        </w:rPr>
        <w:t xml:space="preserve">the work </w:t>
      </w:r>
      <w:r w:rsidRPr="005B6E51">
        <w:rPr>
          <w:rFonts w:ascii="Verdana" w:hAnsi="Verdana" w:cs="Times New Roman"/>
          <w:sz w:val="20"/>
          <w:szCs w:val="20"/>
        </w:rPr>
        <w:t xml:space="preserve">was done by County departments. Future consideration of a consultant to aid with certain processes as needed may be considered. </w:t>
      </w:r>
    </w:p>
    <w:p w:rsidR="00146CF5" w:rsidRPr="005B6E51" w:rsidRDefault="00146CF5" w:rsidP="00073264">
      <w:pPr>
        <w:pStyle w:val="ListParagraph"/>
        <w:jc w:val="left"/>
        <w:rPr>
          <w:rFonts w:ascii="Verdana" w:hAnsi="Verdana" w:cs="Times New Roman"/>
          <w:sz w:val="20"/>
          <w:szCs w:val="20"/>
        </w:rPr>
      </w:pPr>
    </w:p>
    <w:p w:rsidR="00A232D7" w:rsidRDefault="00A232D7">
      <w:pPr>
        <w:rPr>
          <w:rFonts w:ascii="Verdana" w:hAnsi="Verdana" w:cs="Times New Roman"/>
          <w:b/>
          <w:sz w:val="20"/>
          <w:szCs w:val="20"/>
        </w:rPr>
      </w:pPr>
      <w:r>
        <w:rPr>
          <w:rFonts w:ascii="Verdana" w:hAnsi="Verdana" w:cs="Times New Roman"/>
          <w:b/>
          <w:sz w:val="20"/>
          <w:szCs w:val="20"/>
        </w:rPr>
        <w:br w:type="page"/>
      </w:r>
    </w:p>
    <w:p w:rsidR="00534C96" w:rsidRPr="005B6E51" w:rsidRDefault="00BE213B" w:rsidP="00BE213B">
      <w:pPr>
        <w:rPr>
          <w:rFonts w:ascii="Verdana" w:hAnsi="Verdana" w:cs="Times New Roman"/>
          <w:b/>
          <w:sz w:val="20"/>
          <w:szCs w:val="20"/>
        </w:rPr>
      </w:pPr>
      <w:r w:rsidRPr="005B6E51">
        <w:rPr>
          <w:rFonts w:ascii="Verdana" w:hAnsi="Verdana" w:cs="Times New Roman"/>
          <w:b/>
          <w:sz w:val="20"/>
          <w:szCs w:val="20"/>
        </w:rPr>
        <w:lastRenderedPageBreak/>
        <w:t>PRESENTATION STYLE</w:t>
      </w:r>
    </w:p>
    <w:p w:rsidR="0049164D" w:rsidRPr="005B6E51" w:rsidRDefault="0049164D" w:rsidP="00BE213B">
      <w:pPr>
        <w:jc w:val="left"/>
        <w:rPr>
          <w:rFonts w:ascii="Verdana" w:hAnsi="Verdana" w:cs="Times New Roman"/>
          <w:sz w:val="20"/>
          <w:szCs w:val="20"/>
          <w:u w:val="single"/>
        </w:rPr>
      </w:pPr>
    </w:p>
    <w:p w:rsidR="00A232D7" w:rsidRDefault="007227EA" w:rsidP="00BE213B">
      <w:pPr>
        <w:jc w:val="left"/>
        <w:rPr>
          <w:rFonts w:ascii="Verdana" w:hAnsi="Verdana" w:cs="Times New Roman"/>
          <w:sz w:val="20"/>
          <w:szCs w:val="20"/>
        </w:rPr>
      </w:pPr>
      <w:r w:rsidRPr="005B6E51">
        <w:rPr>
          <w:rFonts w:ascii="Verdana" w:hAnsi="Verdana" w:cs="Times New Roman"/>
          <w:sz w:val="20"/>
          <w:szCs w:val="20"/>
        </w:rPr>
        <w:t xml:space="preserve">We envision using a visual to aid in the </w:t>
      </w:r>
      <w:r w:rsidR="00B8306F" w:rsidRPr="005B6E51">
        <w:rPr>
          <w:rFonts w:ascii="Verdana" w:hAnsi="Verdana" w:cs="Times New Roman"/>
          <w:sz w:val="20"/>
          <w:szCs w:val="20"/>
        </w:rPr>
        <w:t>communication of statistics</w:t>
      </w:r>
      <w:r w:rsidR="005B6E51" w:rsidRPr="005B6E51">
        <w:rPr>
          <w:rFonts w:ascii="Verdana" w:hAnsi="Verdana" w:cs="Times New Roman"/>
          <w:sz w:val="20"/>
          <w:szCs w:val="20"/>
        </w:rPr>
        <w:t xml:space="preserve"> (graphs, pie charts, etc.) s</w:t>
      </w:r>
      <w:r w:rsidR="003127AB" w:rsidRPr="005B6E51">
        <w:rPr>
          <w:rFonts w:ascii="Verdana" w:hAnsi="Verdana" w:cs="Times New Roman"/>
          <w:sz w:val="20"/>
          <w:szCs w:val="20"/>
        </w:rPr>
        <w:t>uch as PowerPoint</w:t>
      </w:r>
      <w:r w:rsidR="005B6E51" w:rsidRPr="005B6E51">
        <w:rPr>
          <w:rFonts w:ascii="Verdana" w:hAnsi="Verdana" w:cs="Times New Roman"/>
          <w:sz w:val="20"/>
          <w:szCs w:val="20"/>
        </w:rPr>
        <w:t xml:space="preserve">. There will also be some sort of group activity perhaps involving division of the room into sections that represent the </w:t>
      </w:r>
      <w:r w:rsidR="00A232D7">
        <w:rPr>
          <w:rFonts w:ascii="Verdana" w:hAnsi="Verdana" w:cs="Times New Roman"/>
          <w:sz w:val="20"/>
          <w:szCs w:val="20"/>
        </w:rPr>
        <w:t xml:space="preserve">different clientele served by Healthy Communities in a way that will show attendees that they are truly interconnected. </w:t>
      </w:r>
    </w:p>
    <w:p w:rsidR="00A232D7" w:rsidRDefault="00A232D7" w:rsidP="00BE213B">
      <w:pPr>
        <w:jc w:val="left"/>
        <w:rPr>
          <w:rFonts w:ascii="Verdana" w:hAnsi="Verdana" w:cs="Times New Roman"/>
          <w:sz w:val="20"/>
          <w:szCs w:val="20"/>
        </w:rPr>
      </w:pPr>
    </w:p>
    <w:p w:rsidR="007227EA" w:rsidRPr="005B6E51" w:rsidRDefault="007227EA" w:rsidP="00BE213B">
      <w:pPr>
        <w:jc w:val="left"/>
        <w:rPr>
          <w:rFonts w:ascii="Verdana" w:hAnsi="Verdana" w:cs="Times New Roman"/>
          <w:sz w:val="20"/>
          <w:szCs w:val="20"/>
        </w:rPr>
      </w:pPr>
    </w:p>
    <w:p w:rsidR="00776FB8" w:rsidRPr="005B6E51" w:rsidRDefault="00776FB8" w:rsidP="00BE213B">
      <w:pPr>
        <w:jc w:val="left"/>
        <w:rPr>
          <w:rFonts w:ascii="Verdana" w:hAnsi="Verdana" w:cs="Times New Roman"/>
          <w:sz w:val="20"/>
          <w:szCs w:val="20"/>
          <w:u w:val="single"/>
        </w:rPr>
      </w:pPr>
    </w:p>
    <w:p w:rsidR="003370A3" w:rsidRPr="00B75AC4" w:rsidRDefault="003370A3" w:rsidP="00BE213B">
      <w:pPr>
        <w:jc w:val="left"/>
        <w:rPr>
          <w:rFonts w:ascii="Times New Roman" w:hAnsi="Times New Roman" w:cs="Times New Roman"/>
          <w:u w:val="single"/>
        </w:rPr>
      </w:pPr>
    </w:p>
    <w:sectPr w:rsidR="003370A3" w:rsidRPr="00B75AC4" w:rsidSect="007657F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78" w:rsidRDefault="00F53F78" w:rsidP="007A1FE2">
      <w:r>
        <w:separator/>
      </w:r>
    </w:p>
  </w:endnote>
  <w:endnote w:type="continuationSeparator" w:id="0">
    <w:p w:rsidR="00F53F78" w:rsidRDefault="00F53F78" w:rsidP="007A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9672"/>
      <w:docPartObj>
        <w:docPartGallery w:val="Page Numbers (Bottom of Page)"/>
        <w:docPartUnique/>
      </w:docPartObj>
    </w:sdtPr>
    <w:sdtEndPr/>
    <w:sdtContent>
      <w:p w:rsidR="007A1FE2" w:rsidRDefault="004E31DC">
        <w:pPr>
          <w:pStyle w:val="Footer"/>
        </w:pPr>
        <w:r>
          <w:fldChar w:fldCharType="begin"/>
        </w:r>
        <w:r>
          <w:instrText xml:space="preserve"> PAGE   \* MERGEFORMAT </w:instrText>
        </w:r>
        <w:r>
          <w:fldChar w:fldCharType="separate"/>
        </w:r>
        <w:r w:rsidR="001A0F54">
          <w:rPr>
            <w:noProof/>
          </w:rPr>
          <w:t>1</w:t>
        </w:r>
        <w:r>
          <w:rPr>
            <w:noProof/>
          </w:rPr>
          <w:fldChar w:fldCharType="end"/>
        </w:r>
      </w:p>
    </w:sdtContent>
  </w:sdt>
  <w:p w:rsidR="007A1FE2" w:rsidRDefault="007A1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78" w:rsidRDefault="00F53F78" w:rsidP="007A1FE2">
      <w:r>
        <w:separator/>
      </w:r>
    </w:p>
  </w:footnote>
  <w:footnote w:type="continuationSeparator" w:id="0">
    <w:p w:rsidR="00F53F78" w:rsidRDefault="00F53F78" w:rsidP="007A1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17D0"/>
    <w:multiLevelType w:val="hybridMultilevel"/>
    <w:tmpl w:val="842C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A626E8"/>
    <w:multiLevelType w:val="hybridMultilevel"/>
    <w:tmpl w:val="D9B4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F68DD"/>
    <w:multiLevelType w:val="hybridMultilevel"/>
    <w:tmpl w:val="535E9C18"/>
    <w:lvl w:ilvl="0" w:tplc="43B4A580">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220C3D"/>
    <w:multiLevelType w:val="hybridMultilevel"/>
    <w:tmpl w:val="4B8CA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115B2D"/>
    <w:multiLevelType w:val="hybridMultilevel"/>
    <w:tmpl w:val="439C3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96"/>
    <w:rsid w:val="00073264"/>
    <w:rsid w:val="00096574"/>
    <w:rsid w:val="00096EDA"/>
    <w:rsid w:val="000A37F2"/>
    <w:rsid w:val="000D59D4"/>
    <w:rsid w:val="000E1CDC"/>
    <w:rsid w:val="001008B4"/>
    <w:rsid w:val="00146CF5"/>
    <w:rsid w:val="00152F1F"/>
    <w:rsid w:val="001821E8"/>
    <w:rsid w:val="001A0F54"/>
    <w:rsid w:val="00222C4B"/>
    <w:rsid w:val="0024659B"/>
    <w:rsid w:val="002617E5"/>
    <w:rsid w:val="002701C1"/>
    <w:rsid w:val="002A2CB4"/>
    <w:rsid w:val="002A7A4F"/>
    <w:rsid w:val="002B3B2E"/>
    <w:rsid w:val="002E1C3A"/>
    <w:rsid w:val="003127AB"/>
    <w:rsid w:val="003203AB"/>
    <w:rsid w:val="003370A3"/>
    <w:rsid w:val="003511CD"/>
    <w:rsid w:val="003834BC"/>
    <w:rsid w:val="003C26C3"/>
    <w:rsid w:val="003D2FA9"/>
    <w:rsid w:val="003F7E3B"/>
    <w:rsid w:val="0049164D"/>
    <w:rsid w:val="0049451E"/>
    <w:rsid w:val="004E31DC"/>
    <w:rsid w:val="004F0BB5"/>
    <w:rsid w:val="004F17C1"/>
    <w:rsid w:val="00522DDB"/>
    <w:rsid w:val="00534C96"/>
    <w:rsid w:val="0058377B"/>
    <w:rsid w:val="005867CF"/>
    <w:rsid w:val="0059252A"/>
    <w:rsid w:val="005B6E51"/>
    <w:rsid w:val="005E19DE"/>
    <w:rsid w:val="005F4753"/>
    <w:rsid w:val="005F6DDE"/>
    <w:rsid w:val="00634FF5"/>
    <w:rsid w:val="0069005B"/>
    <w:rsid w:val="006B342F"/>
    <w:rsid w:val="006C00B1"/>
    <w:rsid w:val="006C1461"/>
    <w:rsid w:val="006F1609"/>
    <w:rsid w:val="00720FEA"/>
    <w:rsid w:val="007221E8"/>
    <w:rsid w:val="007227EA"/>
    <w:rsid w:val="00750943"/>
    <w:rsid w:val="007657F3"/>
    <w:rsid w:val="007674D2"/>
    <w:rsid w:val="00776FB8"/>
    <w:rsid w:val="00796E80"/>
    <w:rsid w:val="007A1FE2"/>
    <w:rsid w:val="007E1435"/>
    <w:rsid w:val="007E5491"/>
    <w:rsid w:val="00811C24"/>
    <w:rsid w:val="008A516F"/>
    <w:rsid w:val="009105A8"/>
    <w:rsid w:val="00930C7B"/>
    <w:rsid w:val="00947B4B"/>
    <w:rsid w:val="00952988"/>
    <w:rsid w:val="0096047A"/>
    <w:rsid w:val="009640FB"/>
    <w:rsid w:val="009A00B9"/>
    <w:rsid w:val="00A232D7"/>
    <w:rsid w:val="00A445BA"/>
    <w:rsid w:val="00B44EBE"/>
    <w:rsid w:val="00B6145B"/>
    <w:rsid w:val="00B75AC4"/>
    <w:rsid w:val="00B765E6"/>
    <w:rsid w:val="00B8306F"/>
    <w:rsid w:val="00B94FC4"/>
    <w:rsid w:val="00BE213B"/>
    <w:rsid w:val="00BE3C38"/>
    <w:rsid w:val="00C46518"/>
    <w:rsid w:val="00C72D44"/>
    <w:rsid w:val="00C86C59"/>
    <w:rsid w:val="00C92D0F"/>
    <w:rsid w:val="00CA7065"/>
    <w:rsid w:val="00D07C9E"/>
    <w:rsid w:val="00D36AB5"/>
    <w:rsid w:val="00D428E6"/>
    <w:rsid w:val="00DB032C"/>
    <w:rsid w:val="00E34456"/>
    <w:rsid w:val="00E57874"/>
    <w:rsid w:val="00EB246B"/>
    <w:rsid w:val="00EC255A"/>
    <w:rsid w:val="00EE1E58"/>
    <w:rsid w:val="00EE25D7"/>
    <w:rsid w:val="00EE5236"/>
    <w:rsid w:val="00F020E9"/>
    <w:rsid w:val="00F028C8"/>
    <w:rsid w:val="00F05600"/>
    <w:rsid w:val="00F26FA0"/>
    <w:rsid w:val="00F53F78"/>
    <w:rsid w:val="00F8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C96"/>
    <w:pPr>
      <w:ind w:left="720"/>
      <w:contextualSpacing/>
    </w:pPr>
  </w:style>
  <w:style w:type="character" w:styleId="Hyperlink">
    <w:name w:val="Hyperlink"/>
    <w:basedOn w:val="DefaultParagraphFont"/>
    <w:uiPriority w:val="99"/>
    <w:unhideWhenUsed/>
    <w:rsid w:val="003834BC"/>
    <w:rPr>
      <w:color w:val="0000FF" w:themeColor="hyperlink"/>
      <w:u w:val="single"/>
    </w:rPr>
  </w:style>
  <w:style w:type="table" w:styleId="TableGrid">
    <w:name w:val="Table Grid"/>
    <w:basedOn w:val="TableNormal"/>
    <w:uiPriority w:val="59"/>
    <w:rsid w:val="004F0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6CF5"/>
    <w:pPr>
      <w:autoSpaceDE w:val="0"/>
      <w:autoSpaceDN w:val="0"/>
      <w:adjustRightInd w:val="0"/>
      <w:jc w:val="left"/>
    </w:pPr>
    <w:rPr>
      <w:rFonts w:ascii="Symbol" w:hAnsi="Symbol" w:cs="Symbol"/>
      <w:color w:val="000000"/>
      <w:sz w:val="24"/>
      <w:szCs w:val="24"/>
    </w:rPr>
  </w:style>
  <w:style w:type="paragraph" w:styleId="Header">
    <w:name w:val="header"/>
    <w:basedOn w:val="Normal"/>
    <w:link w:val="HeaderChar"/>
    <w:uiPriority w:val="99"/>
    <w:semiHidden/>
    <w:unhideWhenUsed/>
    <w:rsid w:val="007A1FE2"/>
    <w:pPr>
      <w:tabs>
        <w:tab w:val="center" w:pos="4680"/>
        <w:tab w:val="right" w:pos="9360"/>
      </w:tabs>
    </w:pPr>
  </w:style>
  <w:style w:type="character" w:customStyle="1" w:styleId="HeaderChar">
    <w:name w:val="Header Char"/>
    <w:basedOn w:val="DefaultParagraphFont"/>
    <w:link w:val="Header"/>
    <w:uiPriority w:val="99"/>
    <w:semiHidden/>
    <w:rsid w:val="007A1FE2"/>
  </w:style>
  <w:style w:type="paragraph" w:styleId="Footer">
    <w:name w:val="footer"/>
    <w:basedOn w:val="Normal"/>
    <w:link w:val="FooterChar"/>
    <w:uiPriority w:val="99"/>
    <w:unhideWhenUsed/>
    <w:rsid w:val="007A1FE2"/>
    <w:pPr>
      <w:tabs>
        <w:tab w:val="center" w:pos="4680"/>
        <w:tab w:val="right" w:pos="9360"/>
      </w:tabs>
    </w:pPr>
  </w:style>
  <w:style w:type="character" w:customStyle="1" w:styleId="FooterChar">
    <w:name w:val="Footer Char"/>
    <w:basedOn w:val="DefaultParagraphFont"/>
    <w:link w:val="Footer"/>
    <w:uiPriority w:val="99"/>
    <w:rsid w:val="007A1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C96"/>
    <w:pPr>
      <w:ind w:left="720"/>
      <w:contextualSpacing/>
    </w:pPr>
  </w:style>
  <w:style w:type="character" w:styleId="Hyperlink">
    <w:name w:val="Hyperlink"/>
    <w:basedOn w:val="DefaultParagraphFont"/>
    <w:uiPriority w:val="99"/>
    <w:unhideWhenUsed/>
    <w:rsid w:val="003834BC"/>
    <w:rPr>
      <w:color w:val="0000FF" w:themeColor="hyperlink"/>
      <w:u w:val="single"/>
    </w:rPr>
  </w:style>
  <w:style w:type="table" w:styleId="TableGrid">
    <w:name w:val="Table Grid"/>
    <w:basedOn w:val="TableNormal"/>
    <w:uiPriority w:val="59"/>
    <w:rsid w:val="004F0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6CF5"/>
    <w:pPr>
      <w:autoSpaceDE w:val="0"/>
      <w:autoSpaceDN w:val="0"/>
      <w:adjustRightInd w:val="0"/>
      <w:jc w:val="left"/>
    </w:pPr>
    <w:rPr>
      <w:rFonts w:ascii="Symbol" w:hAnsi="Symbol" w:cs="Symbol"/>
      <w:color w:val="000000"/>
      <w:sz w:val="24"/>
      <w:szCs w:val="24"/>
    </w:rPr>
  </w:style>
  <w:style w:type="paragraph" w:styleId="Header">
    <w:name w:val="header"/>
    <w:basedOn w:val="Normal"/>
    <w:link w:val="HeaderChar"/>
    <w:uiPriority w:val="99"/>
    <w:semiHidden/>
    <w:unhideWhenUsed/>
    <w:rsid w:val="007A1FE2"/>
    <w:pPr>
      <w:tabs>
        <w:tab w:val="center" w:pos="4680"/>
        <w:tab w:val="right" w:pos="9360"/>
      </w:tabs>
    </w:pPr>
  </w:style>
  <w:style w:type="character" w:customStyle="1" w:styleId="HeaderChar">
    <w:name w:val="Header Char"/>
    <w:basedOn w:val="DefaultParagraphFont"/>
    <w:link w:val="Header"/>
    <w:uiPriority w:val="99"/>
    <w:semiHidden/>
    <w:rsid w:val="007A1FE2"/>
  </w:style>
  <w:style w:type="paragraph" w:styleId="Footer">
    <w:name w:val="footer"/>
    <w:basedOn w:val="Normal"/>
    <w:link w:val="FooterChar"/>
    <w:uiPriority w:val="99"/>
    <w:unhideWhenUsed/>
    <w:rsid w:val="007A1FE2"/>
    <w:pPr>
      <w:tabs>
        <w:tab w:val="center" w:pos="4680"/>
        <w:tab w:val="right" w:pos="9360"/>
      </w:tabs>
    </w:pPr>
  </w:style>
  <w:style w:type="character" w:customStyle="1" w:styleId="FooterChar">
    <w:name w:val="Footer Char"/>
    <w:basedOn w:val="DefaultParagraphFont"/>
    <w:link w:val="Footer"/>
    <w:uiPriority w:val="99"/>
    <w:rsid w:val="007A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5118">
      <w:bodyDiv w:val="1"/>
      <w:marLeft w:val="0"/>
      <w:marRight w:val="0"/>
      <w:marTop w:val="0"/>
      <w:marBottom w:val="0"/>
      <w:divBdr>
        <w:top w:val="none" w:sz="0" w:space="0" w:color="auto"/>
        <w:left w:val="none" w:sz="0" w:space="0" w:color="auto"/>
        <w:bottom w:val="none" w:sz="0" w:space="0" w:color="auto"/>
        <w:right w:val="none" w:sz="0" w:space="0" w:color="auto"/>
      </w:divBdr>
    </w:div>
    <w:div w:id="496385512">
      <w:bodyDiv w:val="1"/>
      <w:marLeft w:val="0"/>
      <w:marRight w:val="0"/>
      <w:marTop w:val="0"/>
      <w:marBottom w:val="0"/>
      <w:divBdr>
        <w:top w:val="none" w:sz="0" w:space="0" w:color="auto"/>
        <w:left w:val="none" w:sz="0" w:space="0" w:color="auto"/>
        <w:bottom w:val="none" w:sz="0" w:space="0" w:color="auto"/>
        <w:right w:val="none" w:sz="0" w:space="0" w:color="auto"/>
      </w:divBdr>
    </w:div>
    <w:div w:id="1442186134">
      <w:bodyDiv w:val="1"/>
      <w:marLeft w:val="0"/>
      <w:marRight w:val="0"/>
      <w:marTop w:val="0"/>
      <w:marBottom w:val="0"/>
      <w:divBdr>
        <w:top w:val="none" w:sz="0" w:space="0" w:color="auto"/>
        <w:left w:val="none" w:sz="0" w:space="0" w:color="auto"/>
        <w:bottom w:val="none" w:sz="0" w:space="0" w:color="auto"/>
        <w:right w:val="none" w:sz="0" w:space="0" w:color="auto"/>
      </w:divBdr>
    </w:div>
    <w:div w:id="1609853737">
      <w:bodyDiv w:val="1"/>
      <w:marLeft w:val="0"/>
      <w:marRight w:val="0"/>
      <w:marTop w:val="0"/>
      <w:marBottom w:val="0"/>
      <w:divBdr>
        <w:top w:val="none" w:sz="0" w:space="0" w:color="auto"/>
        <w:left w:val="none" w:sz="0" w:space="0" w:color="auto"/>
        <w:bottom w:val="none" w:sz="0" w:space="0" w:color="auto"/>
        <w:right w:val="none" w:sz="0" w:space="0" w:color="auto"/>
      </w:divBdr>
    </w:div>
    <w:div w:id="174282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meidel@pinellacount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jones@pinellascounty.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urns@pinellascounty.org" TargetMode="External"/><Relationship Id="rId5" Type="http://schemas.openxmlformats.org/officeDocument/2006/relationships/settings" Target="settings.xml"/><Relationship Id="rId15" Type="http://schemas.openxmlformats.org/officeDocument/2006/relationships/hyperlink" Target="mailto:gwarren@pinellascounty.org" TargetMode="External"/><Relationship Id="rId10" Type="http://schemas.openxmlformats.org/officeDocument/2006/relationships/hyperlink" Target="mailto:larringotn@pinellascounty.org" TargetMode="External"/><Relationship Id="rId4" Type="http://schemas.microsoft.com/office/2007/relationships/stylesWithEffects" Target="stylesWithEffects.xml"/><Relationship Id="rId9" Type="http://schemas.openxmlformats.org/officeDocument/2006/relationships/hyperlink" Target="mailto:jcheshire@pinellascounty.org" TargetMode="External"/><Relationship Id="rId14" Type="http://schemas.openxmlformats.org/officeDocument/2006/relationships/hyperlink" Target="mailto:tmyers@pinellas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45B46-8B90-4100-84D4-72602259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Pinellas County</Company>
  <LinksUpToDate>false</LinksUpToDate>
  <CharactersWithSpaces>17227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admdd13</dc:creator>
  <cp:lastModifiedBy>AFI</cp:lastModifiedBy>
  <cp:revision>2</cp:revision>
  <cp:lastPrinted>2012-07-26T13:37:00Z</cp:lastPrinted>
  <dcterms:created xsi:type="dcterms:W3CDTF">2013-01-02T22:31:00Z</dcterms:created>
  <dcterms:modified xsi:type="dcterms:W3CDTF">2013-01-02T22:31:00Z</dcterms:modified>
</cp:coreProperties>
</file>