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48" w:rsidRPr="000D3434" w:rsidRDefault="00786BC0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P</w:t>
      </w:r>
      <w:r w:rsidR="005839FF" w:rsidRPr="000D3434">
        <w:rPr>
          <w:rFonts w:eastAsia="Times New Roman" w:cstheme="minorHAnsi"/>
          <w:b/>
          <w:color w:val="222222"/>
          <w:sz w:val="24"/>
          <w:szCs w:val="24"/>
        </w:rPr>
        <w:t>roblem assessment, the challenge o</w:t>
      </w:r>
      <w:bookmarkStart w:id="0" w:name="_GoBack"/>
      <w:bookmarkEnd w:id="0"/>
      <w:r w:rsidR="005839FF" w:rsidRPr="000D3434">
        <w:rPr>
          <w:rFonts w:eastAsia="Times New Roman" w:cstheme="minorHAnsi"/>
          <w:b/>
          <w:color w:val="222222"/>
          <w:sz w:val="24"/>
          <w:szCs w:val="24"/>
        </w:rPr>
        <w:t xml:space="preserve">r need that prompted </w:t>
      </w:r>
      <w:r w:rsidR="000D3434">
        <w:rPr>
          <w:rFonts w:eastAsia="Times New Roman" w:cstheme="minorHAnsi"/>
          <w:b/>
          <w:color w:val="222222"/>
          <w:sz w:val="24"/>
          <w:szCs w:val="24"/>
        </w:rPr>
        <w:t>development of program</w:t>
      </w:r>
    </w:p>
    <w:p w:rsidR="00244687" w:rsidRPr="00AD71D1" w:rsidRDefault="002010AB" w:rsidP="001534BA">
      <w:pPr>
        <w:spacing w:after="0" w:line="480" w:lineRule="auto"/>
        <w:ind w:firstLine="720"/>
        <w:rPr>
          <w:sz w:val="24"/>
          <w:szCs w:val="24"/>
        </w:rPr>
      </w:pPr>
      <w:r w:rsidRPr="00AD71D1">
        <w:rPr>
          <w:rFonts w:cs="Calibri"/>
          <w:sz w:val="24"/>
          <w:szCs w:val="24"/>
        </w:rPr>
        <w:t xml:space="preserve">A dense urban area of nearly 36 square miles, </w:t>
      </w:r>
      <w:r w:rsidR="00FE6EA9">
        <w:rPr>
          <w:sz w:val="24"/>
          <w:szCs w:val="24"/>
        </w:rPr>
        <w:t>w</w:t>
      </w:r>
      <w:r w:rsidR="009A3954" w:rsidRPr="00AD71D1">
        <w:rPr>
          <w:sz w:val="24"/>
          <w:szCs w:val="24"/>
        </w:rPr>
        <w:t>ith</w:t>
      </w:r>
      <w:r w:rsidRPr="00AD71D1">
        <w:rPr>
          <w:sz w:val="24"/>
          <w:szCs w:val="24"/>
        </w:rPr>
        <w:t xml:space="preserve"> a</w:t>
      </w:r>
      <w:r w:rsidR="00EA151B">
        <w:rPr>
          <w:sz w:val="24"/>
          <w:szCs w:val="24"/>
        </w:rPr>
        <w:t>n immigrant rich</w:t>
      </w:r>
      <w:r w:rsidRPr="00AD71D1">
        <w:rPr>
          <w:sz w:val="24"/>
          <w:szCs w:val="24"/>
        </w:rPr>
        <w:t xml:space="preserve"> population</w:t>
      </w:r>
      <w:r w:rsidR="00EA151B">
        <w:rPr>
          <w:sz w:val="24"/>
          <w:szCs w:val="24"/>
        </w:rPr>
        <w:t xml:space="preserve"> of</w:t>
      </w:r>
      <w:r w:rsidRPr="00AD71D1">
        <w:rPr>
          <w:sz w:val="24"/>
          <w:szCs w:val="24"/>
        </w:rPr>
        <w:t xml:space="preserve"> over 440,000 residents</w:t>
      </w:r>
      <w:r w:rsidR="009B08F8">
        <w:rPr>
          <w:sz w:val="24"/>
          <w:szCs w:val="24"/>
        </w:rPr>
        <w:t>,</w:t>
      </w:r>
      <w:r w:rsidRPr="00AD71D1">
        <w:rPr>
          <w:sz w:val="24"/>
          <w:szCs w:val="24"/>
        </w:rPr>
        <w:t xml:space="preserve"> the City consists of a 69% </w:t>
      </w:r>
      <w:r w:rsidR="00B16848" w:rsidRPr="00AD71D1">
        <w:rPr>
          <w:sz w:val="24"/>
          <w:szCs w:val="24"/>
        </w:rPr>
        <w:t>Hispanic</w:t>
      </w:r>
      <w:r w:rsidRPr="00AD71D1">
        <w:rPr>
          <w:sz w:val="24"/>
          <w:szCs w:val="24"/>
        </w:rPr>
        <w:t xml:space="preserve">, a 19% </w:t>
      </w:r>
      <w:r w:rsidR="00B16848" w:rsidRPr="00AD71D1">
        <w:rPr>
          <w:sz w:val="24"/>
          <w:szCs w:val="24"/>
        </w:rPr>
        <w:t>Black</w:t>
      </w:r>
      <w:r w:rsidRPr="00AD71D1">
        <w:rPr>
          <w:sz w:val="24"/>
          <w:szCs w:val="24"/>
        </w:rPr>
        <w:t>, and a 12% White Non-Hispanic population. Miami may evoke im</w:t>
      </w:r>
      <w:r w:rsidR="00490229">
        <w:rPr>
          <w:sz w:val="24"/>
          <w:szCs w:val="24"/>
        </w:rPr>
        <w:t xml:space="preserve">ages of beautiful beaches, warm </w:t>
      </w:r>
      <w:r w:rsidR="009A3954" w:rsidRPr="00AD71D1">
        <w:rPr>
          <w:sz w:val="24"/>
          <w:szCs w:val="24"/>
        </w:rPr>
        <w:t>weather, international</w:t>
      </w:r>
      <w:r w:rsidRPr="00AD71D1">
        <w:rPr>
          <w:sz w:val="24"/>
          <w:szCs w:val="24"/>
        </w:rPr>
        <w:t xml:space="preserve"> flare and an exciting lifestyle, </w:t>
      </w:r>
      <w:r w:rsidR="0040459C">
        <w:rPr>
          <w:sz w:val="24"/>
          <w:szCs w:val="24"/>
        </w:rPr>
        <w:t xml:space="preserve">but </w:t>
      </w:r>
      <w:r w:rsidRPr="00AD71D1">
        <w:rPr>
          <w:sz w:val="24"/>
          <w:szCs w:val="24"/>
        </w:rPr>
        <w:t xml:space="preserve">the reality is that 32.3% of Miami families with children under the age of 18 live below the poverty level compared to 16.4% nationwide </w:t>
      </w:r>
      <w:r w:rsidR="00490229">
        <w:rPr>
          <w:sz w:val="24"/>
          <w:szCs w:val="24"/>
        </w:rPr>
        <w:t>(</w:t>
      </w:r>
      <w:r w:rsidRPr="00AD71D1">
        <w:rPr>
          <w:sz w:val="24"/>
          <w:szCs w:val="24"/>
        </w:rPr>
        <w:t>2010 U.S. Census</w:t>
      </w:r>
      <w:r w:rsidR="00490229">
        <w:rPr>
          <w:sz w:val="24"/>
          <w:szCs w:val="24"/>
        </w:rPr>
        <w:t>)</w:t>
      </w:r>
      <w:r w:rsidRPr="00AD71D1">
        <w:rPr>
          <w:sz w:val="24"/>
          <w:szCs w:val="24"/>
        </w:rPr>
        <w:t>. In addition, 16.6% of families have an income less than $10,000 compared to 7.1% nationwide,</w:t>
      </w:r>
      <w:r w:rsidRPr="00AD71D1">
        <w:rPr>
          <w:b/>
          <w:sz w:val="24"/>
          <w:szCs w:val="24"/>
        </w:rPr>
        <w:t xml:space="preserve"> </w:t>
      </w:r>
      <w:r w:rsidRPr="00AD71D1">
        <w:rPr>
          <w:sz w:val="24"/>
          <w:szCs w:val="24"/>
        </w:rPr>
        <w:t xml:space="preserve">28% of Miami residents live in poverty. </w:t>
      </w:r>
      <w:r w:rsidR="00490229">
        <w:rPr>
          <w:sz w:val="24"/>
          <w:szCs w:val="24"/>
        </w:rPr>
        <w:t>Miami is 4</w:t>
      </w:r>
      <w:r w:rsidR="00490229" w:rsidRPr="00490229">
        <w:rPr>
          <w:sz w:val="24"/>
          <w:szCs w:val="24"/>
          <w:vertAlign w:val="superscript"/>
        </w:rPr>
        <w:t>th</w:t>
      </w:r>
      <w:r w:rsidR="00490229">
        <w:rPr>
          <w:sz w:val="24"/>
          <w:szCs w:val="24"/>
        </w:rPr>
        <w:t xml:space="preserve"> in </w:t>
      </w:r>
      <w:r w:rsidR="009B08F8">
        <w:rPr>
          <w:sz w:val="24"/>
          <w:szCs w:val="24"/>
        </w:rPr>
        <w:t xml:space="preserve">the </w:t>
      </w:r>
      <w:r w:rsidR="00490229">
        <w:rPr>
          <w:sz w:val="24"/>
          <w:szCs w:val="24"/>
        </w:rPr>
        <w:t>wealth gap.</w:t>
      </w:r>
    </w:p>
    <w:p w:rsidR="00AD71D1" w:rsidRDefault="003456F5" w:rsidP="001534BA">
      <w:pPr>
        <w:spacing w:after="0" w:line="480" w:lineRule="auto"/>
        <w:ind w:firstLine="720"/>
        <w:rPr>
          <w:rFonts w:cs="TimesNewRomanPSMT"/>
          <w:color w:val="000000"/>
          <w:sz w:val="24"/>
          <w:szCs w:val="24"/>
        </w:rPr>
      </w:pPr>
      <w:r w:rsidRPr="00AD71D1">
        <w:rPr>
          <w:rFonts w:cs="TimesNewRomanPSMT"/>
          <w:color w:val="000000"/>
          <w:sz w:val="24"/>
          <w:szCs w:val="24"/>
        </w:rPr>
        <w:t>In 2014, Miami launched a Strategic Plan outlining the City’s six highest priorities to specifically align resources to needs.</w:t>
      </w:r>
      <w:r w:rsidR="009A3954">
        <w:rPr>
          <w:rFonts w:cs="TimesNewRomanPSMT"/>
          <w:color w:val="000000"/>
          <w:sz w:val="24"/>
          <w:szCs w:val="24"/>
        </w:rPr>
        <w:t xml:space="preserve"> </w:t>
      </w:r>
      <w:r w:rsidRPr="00AD71D1">
        <w:rPr>
          <w:rFonts w:cs="TimesNewRomanPSMT"/>
          <w:color w:val="000000"/>
          <w:sz w:val="24"/>
          <w:szCs w:val="24"/>
        </w:rPr>
        <w:t xml:space="preserve">This Plan established objectives and strategies along with performance measures and targets to assess success. </w:t>
      </w:r>
      <w:r w:rsidR="00F80521" w:rsidRPr="00AD71D1">
        <w:rPr>
          <w:rFonts w:cs="TimesNewRomanPSMT"/>
          <w:color w:val="000000"/>
          <w:sz w:val="24"/>
          <w:szCs w:val="24"/>
        </w:rPr>
        <w:t>One of the highest priorities, as identified by residents</w:t>
      </w:r>
      <w:r w:rsidR="00C409E5" w:rsidRPr="00AD71D1">
        <w:rPr>
          <w:rFonts w:cs="TimesNewRomanPSMT"/>
          <w:color w:val="000000"/>
          <w:sz w:val="24"/>
          <w:szCs w:val="24"/>
        </w:rPr>
        <w:t xml:space="preserve"> in surveys and public meetings</w:t>
      </w:r>
      <w:r w:rsidR="00F80521" w:rsidRPr="00AD71D1">
        <w:rPr>
          <w:rFonts w:cs="TimesNewRomanPSMT"/>
          <w:color w:val="000000"/>
          <w:sz w:val="24"/>
          <w:szCs w:val="24"/>
        </w:rPr>
        <w:t xml:space="preserve">, is </w:t>
      </w:r>
      <w:r w:rsidR="00F80521" w:rsidRPr="00AD71D1">
        <w:rPr>
          <w:rFonts w:cs="TimesNewRomanPSMT"/>
          <w:i/>
          <w:color w:val="000000"/>
          <w:sz w:val="24"/>
          <w:szCs w:val="24"/>
        </w:rPr>
        <w:t>Education &amp; Economic Access</w:t>
      </w:r>
      <w:r w:rsidR="00C409E5" w:rsidRPr="00AD71D1">
        <w:rPr>
          <w:rFonts w:cs="TimesNewRomanPSMT"/>
          <w:i/>
          <w:color w:val="000000"/>
          <w:sz w:val="24"/>
          <w:szCs w:val="24"/>
        </w:rPr>
        <w:t>.</w:t>
      </w:r>
      <w:r w:rsidR="009A3954">
        <w:rPr>
          <w:rFonts w:cs="TimesNewRomanPSMT"/>
          <w:color w:val="000000"/>
          <w:sz w:val="24"/>
          <w:szCs w:val="24"/>
        </w:rPr>
        <w:t xml:space="preserve"> </w:t>
      </w:r>
      <w:r w:rsidR="00C409E5" w:rsidRPr="00AD71D1">
        <w:rPr>
          <w:rFonts w:cs="TimesNewRomanPSMT"/>
          <w:color w:val="000000"/>
          <w:sz w:val="24"/>
          <w:szCs w:val="24"/>
        </w:rPr>
        <w:t xml:space="preserve">Key objectives for achieving this priority include supporting the development of a quality workforce and supporting individuals in achieving educational success. </w:t>
      </w:r>
    </w:p>
    <w:p w:rsidR="00F80521" w:rsidRDefault="00C409E5" w:rsidP="0004147E">
      <w:pPr>
        <w:spacing w:line="480" w:lineRule="auto"/>
        <w:ind w:firstLine="720"/>
        <w:rPr>
          <w:sz w:val="24"/>
          <w:szCs w:val="24"/>
        </w:rPr>
      </w:pPr>
      <w:r w:rsidRPr="00E77EB0">
        <w:rPr>
          <w:rFonts w:cs="TimesNewRomanPSMT"/>
          <w:color w:val="000000"/>
          <w:sz w:val="24"/>
          <w:szCs w:val="24"/>
        </w:rPr>
        <w:t xml:space="preserve">In support of this priority and objective, the City of Miami applied for a grant to implement a summer youth employment program. </w:t>
      </w:r>
      <w:r w:rsidR="00E77EB0" w:rsidRPr="00E77EB0">
        <w:rPr>
          <w:sz w:val="24"/>
          <w:szCs w:val="24"/>
        </w:rPr>
        <w:t xml:space="preserve">In 2014, The City of Miami was chosen to be part of a national eight city summer jobs connect initiative funded by the Citi Foundation and the Cities for Financial Empowerment Fund. </w:t>
      </w:r>
      <w:r w:rsidR="00C107A4" w:rsidRPr="00C107A4">
        <w:rPr>
          <w:sz w:val="24"/>
          <w:szCs w:val="24"/>
        </w:rPr>
        <w:t xml:space="preserve">The City of Miami was awarded a 3-year investment to create and sustain a summer youth employment &amp; financial empowerment program. </w:t>
      </w:r>
      <w:r w:rsidR="00E77EB0" w:rsidRPr="00E77EB0">
        <w:rPr>
          <w:sz w:val="24"/>
          <w:szCs w:val="24"/>
        </w:rPr>
        <w:t xml:space="preserve">The intent of these funds is to directly create paid summer jobs </w:t>
      </w:r>
      <w:r w:rsidR="00C107A4">
        <w:rPr>
          <w:sz w:val="24"/>
          <w:szCs w:val="24"/>
        </w:rPr>
        <w:t>and teach financial literacy skills to</w:t>
      </w:r>
      <w:r w:rsidR="00E77EB0" w:rsidRPr="00E77EB0">
        <w:rPr>
          <w:sz w:val="24"/>
          <w:szCs w:val="24"/>
        </w:rPr>
        <w:t xml:space="preserve"> teenagers and young adults who</w:t>
      </w:r>
      <w:r w:rsidR="009A3954">
        <w:rPr>
          <w:sz w:val="24"/>
          <w:szCs w:val="24"/>
        </w:rPr>
        <w:t xml:space="preserve"> </w:t>
      </w:r>
      <w:r w:rsidR="009A3954" w:rsidRPr="00E77EB0">
        <w:rPr>
          <w:sz w:val="24"/>
          <w:szCs w:val="24"/>
        </w:rPr>
        <w:t>would</w:t>
      </w:r>
      <w:r w:rsidR="00E77EB0" w:rsidRPr="00E77EB0">
        <w:rPr>
          <w:sz w:val="24"/>
          <w:szCs w:val="24"/>
        </w:rPr>
        <w:t xml:space="preserve"> otherwise be unemployed and more susceptible to the temptations on the streets.  </w:t>
      </w:r>
    </w:p>
    <w:p w:rsidR="0004147E" w:rsidRDefault="000D3434" w:rsidP="0004147E">
      <w:pPr>
        <w:spacing w:after="0" w:line="48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D3434">
        <w:rPr>
          <w:rFonts w:eastAsia="Times New Roman" w:cstheme="minorHAnsi"/>
          <w:b/>
          <w:color w:val="222222"/>
          <w:sz w:val="24"/>
          <w:szCs w:val="24"/>
        </w:rPr>
        <w:lastRenderedPageBreak/>
        <w:t>Program implementation and costs</w:t>
      </w:r>
    </w:p>
    <w:p w:rsidR="000D3434" w:rsidRPr="008C2FFA" w:rsidRDefault="00AB5BEC" w:rsidP="001534BA">
      <w:pPr>
        <w:spacing w:after="0" w:line="48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0D3434" w:rsidRPr="0004147E">
        <w:rPr>
          <w:sz w:val="24"/>
          <w:szCs w:val="24"/>
        </w:rPr>
        <w:t>he focus</w:t>
      </w:r>
      <w:r>
        <w:rPr>
          <w:sz w:val="24"/>
          <w:szCs w:val="24"/>
        </w:rPr>
        <w:t xml:space="preserve"> of the grant</w:t>
      </w:r>
      <w:r w:rsidR="000D3434" w:rsidRPr="0004147E">
        <w:rPr>
          <w:sz w:val="24"/>
          <w:szCs w:val="24"/>
        </w:rPr>
        <w:t xml:space="preserve"> has been on hiring low</w:t>
      </w:r>
      <w:r w:rsidR="0027204A">
        <w:rPr>
          <w:sz w:val="24"/>
          <w:szCs w:val="24"/>
        </w:rPr>
        <w:t xml:space="preserve"> to </w:t>
      </w:r>
      <w:r w:rsidR="000D3434" w:rsidRPr="0004147E">
        <w:rPr>
          <w:sz w:val="24"/>
          <w:szCs w:val="24"/>
        </w:rPr>
        <w:t>moderate income</w:t>
      </w:r>
      <w:r w:rsidR="0027204A">
        <w:rPr>
          <w:sz w:val="24"/>
          <w:szCs w:val="24"/>
        </w:rPr>
        <w:t xml:space="preserve"> (LMI)</w:t>
      </w:r>
      <w:r w:rsidR="000D3434" w:rsidRPr="0004147E">
        <w:rPr>
          <w:sz w:val="24"/>
          <w:szCs w:val="24"/>
        </w:rPr>
        <w:t xml:space="preserve"> disadvantaged youth and engag</w:t>
      </w:r>
      <w:r w:rsidR="0027204A">
        <w:rPr>
          <w:sz w:val="24"/>
          <w:szCs w:val="24"/>
        </w:rPr>
        <w:t xml:space="preserve">ing </w:t>
      </w:r>
      <w:r w:rsidR="000D3434" w:rsidRPr="0004147E">
        <w:rPr>
          <w:sz w:val="24"/>
          <w:szCs w:val="24"/>
        </w:rPr>
        <w:t xml:space="preserve">them in </w:t>
      </w:r>
      <w:r w:rsidR="00A13579" w:rsidRPr="0004147E">
        <w:rPr>
          <w:sz w:val="24"/>
          <w:szCs w:val="24"/>
        </w:rPr>
        <w:t>financial empowerment</w:t>
      </w:r>
      <w:r w:rsidR="000D3434" w:rsidRPr="0004147E">
        <w:rPr>
          <w:sz w:val="24"/>
          <w:szCs w:val="24"/>
        </w:rPr>
        <w:t xml:space="preserve">/education. The target group is (16‐19 years old) from area census tracts with 51% LMI. These candidates need to be City of Miami legal residents and must pass background checks and health screening tests. </w:t>
      </w:r>
      <w:r w:rsidR="008C2FFA" w:rsidRPr="008C2FFA">
        <w:rPr>
          <w:sz w:val="24"/>
          <w:szCs w:val="24"/>
        </w:rPr>
        <w:t xml:space="preserve">Candidates are matched and placed throughout City departments and select partner agencies. Positions are aligned within broad functional areas such as, administrative/clerical, computer related, customer service and outdoor field related duties. </w:t>
      </w:r>
      <w:r w:rsidR="00AC0ACD">
        <w:rPr>
          <w:sz w:val="24"/>
          <w:szCs w:val="24"/>
        </w:rPr>
        <w:t xml:space="preserve"> T</w:t>
      </w:r>
      <w:r w:rsidR="008C2FFA" w:rsidRPr="008C2FFA">
        <w:rPr>
          <w:sz w:val="24"/>
          <w:szCs w:val="24"/>
        </w:rPr>
        <w:t xml:space="preserve">o increase retention, minimize transportation costs and improve </w:t>
      </w:r>
      <w:r w:rsidR="00AC7FBF" w:rsidRPr="008C2FFA">
        <w:rPr>
          <w:sz w:val="24"/>
          <w:szCs w:val="24"/>
        </w:rPr>
        <w:t>participation</w:t>
      </w:r>
      <w:r w:rsidR="008C2FFA" w:rsidRPr="008C2FFA">
        <w:rPr>
          <w:sz w:val="24"/>
          <w:szCs w:val="24"/>
        </w:rPr>
        <w:t>, City staff assign</w:t>
      </w:r>
      <w:r w:rsidR="00AC7FBF">
        <w:rPr>
          <w:sz w:val="24"/>
          <w:szCs w:val="24"/>
        </w:rPr>
        <w:t>s</w:t>
      </w:r>
      <w:r w:rsidR="008C2FFA" w:rsidRPr="008C2FFA">
        <w:rPr>
          <w:sz w:val="24"/>
          <w:szCs w:val="24"/>
        </w:rPr>
        <w:t xml:space="preserve"> students to sites that are located near</w:t>
      </w:r>
      <w:r w:rsidR="00B16848">
        <w:rPr>
          <w:sz w:val="24"/>
          <w:szCs w:val="24"/>
        </w:rPr>
        <w:t xml:space="preserve"> their</w:t>
      </w:r>
      <w:r w:rsidR="008C2FFA" w:rsidRPr="008C2FFA">
        <w:rPr>
          <w:sz w:val="24"/>
          <w:szCs w:val="24"/>
        </w:rPr>
        <w:t xml:space="preserve"> home</w:t>
      </w:r>
      <w:r w:rsidR="00AC7FBF">
        <w:rPr>
          <w:sz w:val="24"/>
          <w:szCs w:val="24"/>
        </w:rPr>
        <w:t>s</w:t>
      </w:r>
      <w:r w:rsidR="008C2FFA" w:rsidRPr="008C2FFA">
        <w:rPr>
          <w:sz w:val="24"/>
          <w:szCs w:val="24"/>
        </w:rPr>
        <w:t xml:space="preserve"> or easily accessible thru public transportation.</w:t>
      </w:r>
    </w:p>
    <w:p w:rsidR="008C2FFA" w:rsidRPr="008C2FFA" w:rsidRDefault="008C2FFA">
      <w:pPr>
        <w:pStyle w:val="Default"/>
        <w:spacing w:line="480" w:lineRule="auto"/>
        <w:ind w:firstLine="720"/>
      </w:pPr>
      <w:r w:rsidRPr="008C2FFA">
        <w:t>We provide on-site recruitment/application assistance at e</w:t>
      </w:r>
      <w:r>
        <w:t xml:space="preserve">ach of </w:t>
      </w:r>
      <w:r w:rsidR="00AC0ACD">
        <w:t xml:space="preserve">the </w:t>
      </w:r>
      <w:r>
        <w:t xml:space="preserve">4 partner high schools.  </w:t>
      </w:r>
      <w:r w:rsidRPr="008C2FFA">
        <w:t xml:space="preserve">Partnering with these schools further ensures the </w:t>
      </w:r>
      <w:r w:rsidR="00AC0ACD">
        <w:t>C</w:t>
      </w:r>
      <w:r w:rsidRPr="008C2FFA">
        <w:t xml:space="preserve">ity’s diverse population is represented. There is no need for youth to have a resume, participate in an interview process, or maintain a GPA in order to participate. Each recruitment consists of providing every student with assistance in completing the City’s employment application; understanding the program’s purpose of financial education. Also made available at recruitment is a mobile DMV unit to provide </w:t>
      </w:r>
      <w:r w:rsidR="00AB5BEC">
        <w:t xml:space="preserve">free </w:t>
      </w:r>
      <w:r w:rsidRPr="008C2FFA">
        <w:t xml:space="preserve">State IDs to aid in the employment and bank account opening process.  </w:t>
      </w:r>
    </w:p>
    <w:p w:rsidR="008C2FFA" w:rsidRDefault="008C2FFA" w:rsidP="001534BA">
      <w:pPr>
        <w:pStyle w:val="Default"/>
        <w:spacing w:line="480" w:lineRule="auto"/>
        <w:ind w:firstLine="720"/>
        <w:rPr>
          <w:sz w:val="22"/>
          <w:szCs w:val="22"/>
        </w:rPr>
      </w:pPr>
      <w:r w:rsidRPr="008C2FFA">
        <w:t>The three financial goals of the program are encompassed throughout</w:t>
      </w:r>
      <w:r w:rsidR="0027204A">
        <w:t xml:space="preserve">, </w:t>
      </w:r>
      <w:r w:rsidRPr="008C2FFA">
        <w:t>which are</w:t>
      </w:r>
      <w:r w:rsidR="0027204A">
        <w:t xml:space="preserve">: </w:t>
      </w:r>
      <w:r w:rsidRPr="008C2FFA">
        <w:t xml:space="preserve">direct deposit, starting a savings plan and opening a bank account. </w:t>
      </w:r>
      <w:r w:rsidR="00AB5BEC">
        <w:t xml:space="preserve">Students are </w:t>
      </w:r>
      <w:r w:rsidRPr="008C2FFA">
        <w:t>required during the summer session to meet one-on-one with one of the financial coaches to review their budget worksheets and review their spending and savings plans</w:t>
      </w:r>
      <w:r w:rsidRPr="00F519E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C0ACD">
        <w:t>T</w:t>
      </w:r>
      <w:r w:rsidRPr="008C2FFA">
        <w:t xml:space="preserve">he program </w:t>
      </w:r>
      <w:r w:rsidR="00AB5BEC">
        <w:t>commences with</w:t>
      </w:r>
      <w:r w:rsidRPr="008C2FFA">
        <w:t xml:space="preserve"> a 1-day financial literacy and program orientation.</w:t>
      </w:r>
      <w:r w:rsidR="009A3954">
        <w:t xml:space="preserve"> </w:t>
      </w:r>
      <w:r w:rsidRPr="008C2FFA">
        <w:t xml:space="preserve">This orientation includes such topics as, </w:t>
      </w:r>
      <w:r w:rsidR="00EF4CBC">
        <w:lastRenderedPageBreak/>
        <w:t>“U</w:t>
      </w:r>
      <w:r w:rsidRPr="008C2FFA">
        <w:t xml:space="preserve">nderstanding </w:t>
      </w:r>
      <w:r w:rsidR="00EF4CBC">
        <w:t>Y</w:t>
      </w:r>
      <w:r w:rsidRPr="008C2FFA">
        <w:t xml:space="preserve">our </w:t>
      </w:r>
      <w:r w:rsidR="00EF4CBC">
        <w:t>P</w:t>
      </w:r>
      <w:r w:rsidRPr="008C2FFA">
        <w:t>aycheck</w:t>
      </w:r>
      <w:r w:rsidR="00EF4CBC">
        <w:t>”, “D</w:t>
      </w:r>
      <w:r w:rsidRPr="008C2FFA">
        <w:t xml:space="preserve">irect </w:t>
      </w:r>
      <w:r w:rsidR="00EF4CBC">
        <w:t>D</w:t>
      </w:r>
      <w:r w:rsidRPr="008C2FFA">
        <w:t>eposit</w:t>
      </w:r>
      <w:r w:rsidR="00EF4CBC">
        <w:t>”</w:t>
      </w:r>
      <w:r w:rsidRPr="008C2FFA">
        <w:t>,</w:t>
      </w:r>
      <w:r w:rsidR="00EF4CBC">
        <w:t xml:space="preserve"> “Credit &amp; Mo</w:t>
      </w:r>
      <w:r w:rsidRPr="008C2FFA">
        <w:t xml:space="preserve">ney </w:t>
      </w:r>
      <w:r w:rsidR="00EF4CBC">
        <w:t>M</w:t>
      </w:r>
      <w:r w:rsidRPr="008C2FFA">
        <w:t>anagement</w:t>
      </w:r>
      <w:r w:rsidR="00EF4CBC">
        <w:t>”, “B</w:t>
      </w:r>
      <w:r w:rsidRPr="008C2FFA">
        <w:t>udgeting</w:t>
      </w:r>
      <w:r w:rsidR="00EF4CBC">
        <w:t>”</w:t>
      </w:r>
      <w:r w:rsidRPr="008C2FFA">
        <w:t xml:space="preserve">, </w:t>
      </w:r>
      <w:r w:rsidR="00EF4CBC">
        <w:t>“Work S</w:t>
      </w:r>
      <w:r w:rsidRPr="008C2FFA">
        <w:t>chedules</w:t>
      </w:r>
      <w:r w:rsidR="00EF4CBC">
        <w:t>”</w:t>
      </w:r>
      <w:r w:rsidRPr="008C2FFA">
        <w:t xml:space="preserve">, </w:t>
      </w:r>
      <w:r w:rsidR="00EF4CBC">
        <w:t>“Proper D</w:t>
      </w:r>
      <w:r w:rsidRPr="008C2FFA">
        <w:t xml:space="preserve">ress </w:t>
      </w:r>
      <w:r w:rsidR="00EF4CBC">
        <w:t>C</w:t>
      </w:r>
      <w:r w:rsidRPr="008C2FFA">
        <w:t>ode</w:t>
      </w:r>
      <w:r w:rsidR="00EF4CBC">
        <w:t>”</w:t>
      </w:r>
      <w:r w:rsidRPr="008C2FFA">
        <w:t xml:space="preserve">, </w:t>
      </w:r>
      <w:r w:rsidR="00EF4CBC">
        <w:t>“W</w:t>
      </w:r>
      <w:r w:rsidRPr="008C2FFA">
        <w:t xml:space="preserve">ork </w:t>
      </w:r>
      <w:r w:rsidR="00EF4CBC">
        <w:t>E</w:t>
      </w:r>
      <w:r w:rsidRPr="008C2FFA">
        <w:t>thics</w:t>
      </w:r>
      <w:r w:rsidR="00EF4CBC">
        <w:t>”</w:t>
      </w:r>
      <w:r w:rsidR="00AB5BEC" w:rsidRPr="008C2FFA">
        <w:t>, and</w:t>
      </w:r>
      <w:r w:rsidRPr="008C2FFA">
        <w:t xml:space="preserve"> </w:t>
      </w:r>
      <w:r w:rsidR="00EF4CBC">
        <w:t>“L</w:t>
      </w:r>
      <w:r w:rsidRPr="008C2FFA">
        <w:t xml:space="preserve">ife </w:t>
      </w:r>
      <w:r w:rsidR="00EF4CBC">
        <w:t xml:space="preserve">Skills”. </w:t>
      </w:r>
      <w:r w:rsidRPr="008C2FFA">
        <w:t xml:space="preserve">Youth </w:t>
      </w:r>
      <w:r w:rsidR="00AB5BEC">
        <w:t>are</w:t>
      </w:r>
      <w:r w:rsidRPr="008C2FFA">
        <w:t xml:space="preserve"> provided a City of Miami HR overview on workplace behavior and requirements. Guest speakers are also invited to address the students in a variety of topics ranging </w:t>
      </w:r>
      <w:r w:rsidR="00A1307F" w:rsidRPr="008C2FFA">
        <w:t>from public</w:t>
      </w:r>
      <w:r w:rsidRPr="008C2FFA">
        <w:t xml:space="preserve"> speaking to</w:t>
      </w:r>
      <w:r w:rsidR="00AB5BEC">
        <w:t xml:space="preserve"> college</w:t>
      </w:r>
      <w:r w:rsidRPr="008C2FFA">
        <w:t xml:space="preserve"> financial </w:t>
      </w:r>
      <w:r w:rsidR="00AB5BEC" w:rsidRPr="008C2FFA">
        <w:t>assistance</w:t>
      </w:r>
      <w:r w:rsidRPr="008C2FFA">
        <w:t>.</w:t>
      </w:r>
      <w:r w:rsidR="00A13579">
        <w:t xml:space="preserve"> </w:t>
      </w:r>
      <w:r w:rsidR="00176FAC">
        <w:t>Program costs are mainly limited to expenses directly resulting from the hiring, employment and support of the youth.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jc w:val="center"/>
            </w:pPr>
            <w:r w:rsidRPr="001534BA">
              <w:rPr>
                <w:b/>
              </w:rPr>
              <w:t>Component</w:t>
            </w:r>
          </w:p>
        </w:tc>
        <w:tc>
          <w:tcPr>
            <w:tcW w:w="4675" w:type="dxa"/>
          </w:tcPr>
          <w:p w:rsidR="00D21155" w:rsidRPr="001534BA" w:rsidRDefault="00D21155" w:rsidP="004862C5">
            <w:pPr>
              <w:pStyle w:val="Default"/>
              <w:jc w:val="center"/>
            </w:pPr>
            <w:r w:rsidRPr="001534BA">
              <w:rPr>
                <w:b/>
              </w:rPr>
              <w:t>Program Cost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 xml:space="preserve">Salary (per hour $8.05 @ 35 hours/week for 9 weeks </w:t>
            </w:r>
          </w:p>
        </w:tc>
        <w:tc>
          <w:tcPr>
            <w:tcW w:w="4675" w:type="dxa"/>
          </w:tcPr>
          <w:p w:rsidR="00D21155" w:rsidRPr="001534BA" w:rsidRDefault="00D21155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$2535 per participant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Total Salary (135-150 participant)</w:t>
            </w:r>
          </w:p>
        </w:tc>
        <w:tc>
          <w:tcPr>
            <w:tcW w:w="4675" w:type="dxa"/>
          </w:tcPr>
          <w:p w:rsidR="00D21155" w:rsidRPr="001534BA" w:rsidRDefault="00D21155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$342,225 - $380,250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Bus Passes (free for participant as needed)</w:t>
            </w:r>
          </w:p>
        </w:tc>
        <w:tc>
          <w:tcPr>
            <w:tcW w:w="4675" w:type="dxa"/>
          </w:tcPr>
          <w:p w:rsidR="00D21155" w:rsidRPr="001534BA" w:rsidRDefault="00D21155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$2</w:t>
            </w:r>
            <w:r w:rsidR="00402853" w:rsidRPr="001534BA">
              <w:rPr>
                <w:sz w:val="20"/>
                <w:szCs w:val="20"/>
              </w:rPr>
              <w:t>,</w:t>
            </w:r>
            <w:r w:rsidRPr="001534BA">
              <w:rPr>
                <w:sz w:val="20"/>
                <w:szCs w:val="20"/>
              </w:rPr>
              <w:t>250</w:t>
            </w:r>
          </w:p>
        </w:tc>
      </w:tr>
      <w:tr w:rsidR="00402853" w:rsidTr="00402853">
        <w:tc>
          <w:tcPr>
            <w:tcW w:w="4765" w:type="dxa"/>
          </w:tcPr>
          <w:p w:rsidR="00402853" w:rsidRPr="001534BA" w:rsidRDefault="00402853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Valid FL ids (free for participant as needed)</w:t>
            </w:r>
          </w:p>
        </w:tc>
        <w:tc>
          <w:tcPr>
            <w:tcW w:w="4675" w:type="dxa"/>
          </w:tcPr>
          <w:p w:rsidR="00402853" w:rsidRPr="001534BA" w:rsidRDefault="00402853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$500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Orientation Day</w:t>
            </w:r>
          </w:p>
        </w:tc>
        <w:tc>
          <w:tcPr>
            <w:tcW w:w="4675" w:type="dxa"/>
          </w:tcPr>
          <w:p w:rsidR="00D21155" w:rsidRPr="001534BA" w:rsidRDefault="00402853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$1,000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D21155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Background &amp; health screen</w:t>
            </w:r>
            <w:r w:rsidR="00402853" w:rsidRPr="001534BA">
              <w:rPr>
                <w:i/>
                <w:sz w:val="20"/>
                <w:szCs w:val="20"/>
              </w:rPr>
              <w:t>ing ($100/participant)</w:t>
            </w:r>
          </w:p>
        </w:tc>
        <w:tc>
          <w:tcPr>
            <w:tcW w:w="4675" w:type="dxa"/>
          </w:tcPr>
          <w:p w:rsidR="00D21155" w:rsidRPr="001534BA" w:rsidRDefault="00402853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$13,500 - $15,000</w:t>
            </w:r>
          </w:p>
        </w:tc>
      </w:tr>
      <w:tr w:rsidR="00D21155" w:rsidTr="00402853">
        <w:tc>
          <w:tcPr>
            <w:tcW w:w="4765" w:type="dxa"/>
          </w:tcPr>
          <w:p w:rsidR="00D21155" w:rsidRPr="001534BA" w:rsidRDefault="00402853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 xml:space="preserve">Program Manager </w:t>
            </w:r>
          </w:p>
        </w:tc>
        <w:tc>
          <w:tcPr>
            <w:tcW w:w="4675" w:type="dxa"/>
          </w:tcPr>
          <w:p w:rsidR="00D21155" w:rsidRPr="001534BA" w:rsidRDefault="00402853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$35,000</w:t>
            </w:r>
          </w:p>
        </w:tc>
      </w:tr>
      <w:tr w:rsidR="00402853" w:rsidTr="00402853">
        <w:tc>
          <w:tcPr>
            <w:tcW w:w="4765" w:type="dxa"/>
          </w:tcPr>
          <w:p w:rsidR="00402853" w:rsidRPr="001534BA" w:rsidRDefault="00402853" w:rsidP="004862C5">
            <w:pPr>
              <w:pStyle w:val="Default"/>
              <w:rPr>
                <w:i/>
                <w:sz w:val="20"/>
                <w:szCs w:val="20"/>
              </w:rPr>
            </w:pPr>
            <w:r w:rsidRPr="001534BA">
              <w:rPr>
                <w:i/>
                <w:sz w:val="20"/>
                <w:szCs w:val="20"/>
              </w:rPr>
              <w:t>Total cost per summer session</w:t>
            </w:r>
          </w:p>
        </w:tc>
        <w:tc>
          <w:tcPr>
            <w:tcW w:w="4675" w:type="dxa"/>
          </w:tcPr>
          <w:p w:rsidR="00402853" w:rsidRPr="001534BA" w:rsidRDefault="00402853" w:rsidP="004862C5">
            <w:pPr>
              <w:pStyle w:val="Default"/>
              <w:jc w:val="center"/>
              <w:rPr>
                <w:sz w:val="20"/>
                <w:szCs w:val="20"/>
              </w:rPr>
            </w:pPr>
            <w:r w:rsidRPr="001534BA">
              <w:rPr>
                <w:sz w:val="20"/>
                <w:szCs w:val="20"/>
              </w:rPr>
              <w:t>$394,475 - $434,000</w:t>
            </w:r>
          </w:p>
        </w:tc>
      </w:tr>
    </w:tbl>
    <w:p w:rsidR="004862C5" w:rsidRDefault="004862C5" w:rsidP="004862C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3B11F6" w:rsidRDefault="00402853" w:rsidP="001534B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402853">
        <w:rPr>
          <w:rFonts w:eastAsia="Times New Roman" w:cstheme="minorHAnsi"/>
          <w:b/>
          <w:color w:val="222222"/>
          <w:sz w:val="24"/>
          <w:szCs w:val="24"/>
        </w:rPr>
        <w:t>Tangible results or measurable outcomes of the program</w:t>
      </w:r>
    </w:p>
    <w:p w:rsidR="003B11F6" w:rsidRPr="00176FAC" w:rsidRDefault="00A13579" w:rsidP="00A1307F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32A84" w:rsidRPr="00176FAC">
        <w:rPr>
          <w:sz w:val="24"/>
          <w:szCs w:val="24"/>
        </w:rPr>
        <w:t>he City has been able to provide this opportunity to 380 youth from disadvantage</w:t>
      </w:r>
      <w:r w:rsidR="003B11F6">
        <w:rPr>
          <w:sz w:val="24"/>
          <w:szCs w:val="24"/>
        </w:rPr>
        <w:t>d</w:t>
      </w:r>
      <w:r w:rsidR="00632A84" w:rsidRPr="00176FAC">
        <w:rPr>
          <w:sz w:val="24"/>
          <w:szCs w:val="24"/>
        </w:rPr>
        <w:t xml:space="preserve"> neighborhoods. To date, the youth ha</w:t>
      </w:r>
      <w:r w:rsidR="00176FAC">
        <w:rPr>
          <w:sz w:val="24"/>
          <w:szCs w:val="24"/>
        </w:rPr>
        <w:t>s</w:t>
      </w:r>
      <w:r w:rsidR="00632A84" w:rsidRPr="00176FAC">
        <w:rPr>
          <w:sz w:val="24"/>
          <w:szCs w:val="24"/>
        </w:rPr>
        <w:t xml:space="preserve"> worked 119,700 hours for a participant income of over $1 Million, resulting in accumulated assets in savings totaling over $53,000.  </w:t>
      </w:r>
      <w:r w:rsidR="009C4F70">
        <w:rPr>
          <w:sz w:val="24"/>
          <w:szCs w:val="24"/>
        </w:rPr>
        <w:t>O</w:t>
      </w:r>
      <w:r w:rsidR="00632A84" w:rsidRPr="00176FAC">
        <w:rPr>
          <w:sz w:val="24"/>
          <w:szCs w:val="24"/>
        </w:rPr>
        <w:t>ver 190 new bank accounts have been opened by our youth</w:t>
      </w:r>
      <w:r>
        <w:rPr>
          <w:sz w:val="24"/>
          <w:szCs w:val="24"/>
        </w:rPr>
        <w:t>,</w:t>
      </w:r>
      <w:r w:rsidR="00632A84" w:rsidRPr="00176FAC">
        <w:rPr>
          <w:sz w:val="24"/>
          <w:szCs w:val="24"/>
        </w:rPr>
        <w:t xml:space="preserve"> with a 99% direct deposit rate.</w:t>
      </w:r>
      <w:r w:rsidR="004862C5" w:rsidRPr="004862C5">
        <w:rPr>
          <w:noProof/>
        </w:rPr>
        <w:t xml:space="preserve"> </w:t>
      </w:r>
      <w:r w:rsidR="00A95F7B">
        <w:rPr>
          <w:noProof/>
        </w:rPr>
        <w:t xml:space="preserve">         </w:t>
      </w:r>
      <w:r w:rsidR="004862C5" w:rsidRPr="007F5E68">
        <w:rPr>
          <w:noProof/>
        </w:rPr>
        <w:object w:dxaOrig="7803" w:dyaOrig="2529" w14:anchorId="5A59C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pt;height:113.45pt" o:ole="">
            <v:imagedata r:id="rId8" o:title=""/>
          </v:shape>
          <o:OLEObject Type="Embed" ProgID="Excel.Sheet.12" ShapeID="_x0000_i1025" DrawAspect="Content" ObjectID="_1563862182" r:id="rId9"/>
        </w:object>
      </w:r>
    </w:p>
    <w:p w:rsidR="00632A84" w:rsidRPr="00632A84" w:rsidRDefault="003B11F6" w:rsidP="001534BA">
      <w:pPr>
        <w:autoSpaceDE w:val="0"/>
        <w:autoSpaceDN w:val="0"/>
        <w:adjustRightInd w:val="0"/>
        <w:spacing w:after="0" w:line="48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ab/>
      </w:r>
      <w:r w:rsidR="00812AC0">
        <w:rPr>
          <w:rFonts w:cs="TimesNewRomanPSMT"/>
          <w:color w:val="000000"/>
          <w:sz w:val="24"/>
          <w:szCs w:val="24"/>
        </w:rPr>
        <w:t xml:space="preserve">Participants are exposed to city business, services and programs that provide an education beyond the classroom. For most of the youth, this is the first time they are exposed </w:t>
      </w:r>
      <w:r w:rsidR="00812AC0">
        <w:rPr>
          <w:rFonts w:cs="TimesNewRomanPSMT"/>
          <w:color w:val="000000"/>
          <w:sz w:val="24"/>
          <w:szCs w:val="24"/>
        </w:rPr>
        <w:lastRenderedPageBreak/>
        <w:t>to a diverse group of professionals in a variety of fields that provides positive options to their day-to-day reality. Miami employees and staff go beyond the scope of the program and many time</w:t>
      </w:r>
      <w:r w:rsidR="00176FAC">
        <w:rPr>
          <w:rFonts w:cs="TimesNewRomanPSMT"/>
          <w:color w:val="000000"/>
          <w:sz w:val="24"/>
          <w:szCs w:val="24"/>
        </w:rPr>
        <w:t>s</w:t>
      </w:r>
      <w:r w:rsidR="00812AC0">
        <w:rPr>
          <w:rFonts w:cs="TimesNewRomanPSMT"/>
          <w:color w:val="000000"/>
          <w:sz w:val="24"/>
          <w:szCs w:val="24"/>
        </w:rPr>
        <w:t xml:space="preserve"> serve as mentors to the </w:t>
      </w:r>
      <w:r w:rsidR="00161480">
        <w:rPr>
          <w:rFonts w:cs="TimesNewRomanPSMT"/>
          <w:color w:val="000000"/>
          <w:sz w:val="24"/>
          <w:szCs w:val="24"/>
        </w:rPr>
        <w:t>youth.</w:t>
      </w:r>
      <w:r w:rsidR="00812AC0">
        <w:rPr>
          <w:rFonts w:cs="TimesNewRomanPSMT"/>
          <w:color w:val="000000"/>
          <w:sz w:val="24"/>
          <w:szCs w:val="24"/>
        </w:rPr>
        <w:t xml:space="preserve"> </w:t>
      </w:r>
    </w:p>
    <w:p w:rsidR="00812AC0" w:rsidRDefault="00812AC0" w:rsidP="0004147E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812AC0">
        <w:rPr>
          <w:rFonts w:eastAsia="Times New Roman" w:cstheme="minorHAnsi"/>
          <w:b/>
          <w:color w:val="222222"/>
          <w:sz w:val="24"/>
          <w:szCs w:val="24"/>
        </w:rPr>
        <w:t>Lessons learned during planning, implementation, and analysis of the program</w:t>
      </w:r>
    </w:p>
    <w:p w:rsidR="004862C5" w:rsidRDefault="00BC3E51" w:rsidP="004862C5">
      <w:pPr>
        <w:autoSpaceDE w:val="0"/>
        <w:autoSpaceDN w:val="0"/>
        <w:adjustRightInd w:val="0"/>
        <w:spacing w:after="0" w:line="48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BC3E51">
        <w:rPr>
          <w:rFonts w:eastAsia="Times New Roman" w:cstheme="minorHAnsi"/>
          <w:color w:val="222222"/>
          <w:sz w:val="24"/>
          <w:szCs w:val="24"/>
        </w:rPr>
        <w:t>The City administration has learned many lesson</w:t>
      </w:r>
      <w:r w:rsidR="0030111B">
        <w:rPr>
          <w:rFonts w:eastAsia="Times New Roman" w:cstheme="minorHAnsi"/>
          <w:color w:val="222222"/>
          <w:sz w:val="24"/>
          <w:szCs w:val="24"/>
        </w:rPr>
        <w:t>s</w:t>
      </w:r>
      <w:r w:rsidRPr="00BC3E51">
        <w:rPr>
          <w:rFonts w:eastAsia="Times New Roman" w:cstheme="minorHAnsi"/>
          <w:color w:val="222222"/>
          <w:sz w:val="24"/>
          <w:szCs w:val="24"/>
        </w:rPr>
        <w:t xml:space="preserve"> from this summer program and from hosting th</w:t>
      </w:r>
      <w:r>
        <w:rPr>
          <w:rFonts w:eastAsia="Times New Roman" w:cstheme="minorHAnsi"/>
          <w:color w:val="222222"/>
          <w:sz w:val="24"/>
          <w:szCs w:val="24"/>
        </w:rPr>
        <w:t>e</w:t>
      </w:r>
      <w:r w:rsidRPr="00BC3E51">
        <w:rPr>
          <w:rFonts w:eastAsia="Times New Roman" w:cstheme="minorHAnsi"/>
          <w:color w:val="222222"/>
          <w:sz w:val="24"/>
          <w:szCs w:val="24"/>
        </w:rPr>
        <w:t xml:space="preserve"> youth </w:t>
      </w:r>
      <w:r>
        <w:rPr>
          <w:rFonts w:eastAsia="Times New Roman" w:cstheme="minorHAnsi"/>
          <w:color w:val="222222"/>
          <w:sz w:val="24"/>
          <w:szCs w:val="24"/>
        </w:rPr>
        <w:t>for the summer</w:t>
      </w:r>
      <w:r w:rsidRPr="00BC3E51">
        <w:rPr>
          <w:rFonts w:eastAsia="Times New Roman" w:cstheme="minorHAnsi"/>
          <w:color w:val="222222"/>
          <w:sz w:val="24"/>
          <w:szCs w:val="24"/>
        </w:rPr>
        <w:t xml:space="preserve">. </w:t>
      </w:r>
      <w:r>
        <w:rPr>
          <w:rFonts w:eastAsia="Times New Roman" w:cstheme="minorHAnsi"/>
          <w:color w:val="222222"/>
          <w:sz w:val="24"/>
          <w:szCs w:val="24"/>
        </w:rPr>
        <w:t xml:space="preserve">  </w:t>
      </w:r>
    </w:p>
    <w:p w:rsidR="00BC3E51" w:rsidRPr="004862C5" w:rsidRDefault="00BC3E51" w:rsidP="004862C5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480" w:lineRule="auto"/>
        <w:ind w:left="360"/>
        <w:rPr>
          <w:sz w:val="24"/>
          <w:szCs w:val="24"/>
        </w:rPr>
      </w:pPr>
      <w:r w:rsidRPr="004862C5">
        <w:rPr>
          <w:sz w:val="24"/>
          <w:szCs w:val="24"/>
          <w:u w:val="single"/>
        </w:rPr>
        <w:t>We started the program much earlier</w:t>
      </w:r>
      <w:r w:rsidRPr="004862C5">
        <w:rPr>
          <w:sz w:val="24"/>
          <w:szCs w:val="24"/>
        </w:rPr>
        <w:t xml:space="preserve"> – Initiating the recruitment in February</w:t>
      </w:r>
      <w:r w:rsidR="00A13579">
        <w:rPr>
          <w:sz w:val="24"/>
          <w:szCs w:val="24"/>
        </w:rPr>
        <w:t xml:space="preserve"> allowed more time</w:t>
      </w:r>
      <w:r w:rsidRPr="004862C5">
        <w:rPr>
          <w:sz w:val="24"/>
          <w:szCs w:val="24"/>
        </w:rPr>
        <w:t xml:space="preserve"> to set-up the recruitment fairs,  for the students to complete the applications, open their bank accounts and for the school partners to plan for their  screening process.</w:t>
      </w:r>
    </w:p>
    <w:p w:rsidR="00BC3E51" w:rsidRDefault="00BC3E51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sz w:val="24"/>
          <w:szCs w:val="24"/>
        </w:rPr>
      </w:pPr>
      <w:r w:rsidRPr="00BC3E51">
        <w:rPr>
          <w:sz w:val="24"/>
          <w:szCs w:val="24"/>
          <w:u w:val="single"/>
        </w:rPr>
        <w:t>Very smooth on-site recruitment events with the partner schools</w:t>
      </w:r>
      <w:r w:rsidRPr="00BC3E51">
        <w:rPr>
          <w:sz w:val="24"/>
          <w:szCs w:val="24"/>
        </w:rPr>
        <w:t xml:space="preserve"> –School administration and students seemed to fully comprehend our intent and focus on financial empowerment and the value of the summer program.  There was less</w:t>
      </w:r>
      <w:r w:rsidR="00EF4CBC">
        <w:rPr>
          <w:sz w:val="24"/>
          <w:szCs w:val="24"/>
        </w:rPr>
        <w:t xml:space="preserve"> pushback this year with regard</w:t>
      </w:r>
      <w:r w:rsidRPr="00BC3E51">
        <w:rPr>
          <w:sz w:val="24"/>
          <w:szCs w:val="24"/>
        </w:rPr>
        <w:t xml:space="preserve"> to our request that many of the same students from the previous year not be reinstated again</w:t>
      </w:r>
      <w:r w:rsidR="00C11668">
        <w:rPr>
          <w:sz w:val="24"/>
          <w:szCs w:val="24"/>
        </w:rPr>
        <w:t xml:space="preserve">. This </w:t>
      </w:r>
      <w:r w:rsidRPr="00BC3E51">
        <w:rPr>
          <w:sz w:val="24"/>
          <w:szCs w:val="24"/>
        </w:rPr>
        <w:t>allow</w:t>
      </w:r>
      <w:r w:rsidR="00C11668">
        <w:rPr>
          <w:sz w:val="24"/>
          <w:szCs w:val="24"/>
        </w:rPr>
        <w:t>ed</w:t>
      </w:r>
      <w:r w:rsidRPr="00BC3E51">
        <w:rPr>
          <w:sz w:val="24"/>
          <w:szCs w:val="24"/>
        </w:rPr>
        <w:t xml:space="preserve"> for a new cohort of students. Site Supervisors showed a new interest in wanting to m</w:t>
      </w:r>
      <w:r w:rsidR="00EF4CBC">
        <w:rPr>
          <w:sz w:val="24"/>
          <w:szCs w:val="24"/>
        </w:rPr>
        <w:t xml:space="preserve">aintain many of the students beyond </w:t>
      </w:r>
      <w:r w:rsidRPr="00BC3E51">
        <w:rPr>
          <w:sz w:val="24"/>
          <w:szCs w:val="24"/>
        </w:rPr>
        <w:t xml:space="preserve">the summer.  </w:t>
      </w:r>
    </w:p>
    <w:p w:rsidR="00BC3E51" w:rsidRPr="00BC3E51" w:rsidRDefault="002A2279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sz w:val="24"/>
          <w:szCs w:val="24"/>
        </w:rPr>
      </w:pPr>
      <w:r w:rsidRPr="002A2279">
        <w:rPr>
          <w:sz w:val="24"/>
          <w:szCs w:val="24"/>
          <w:u w:val="single"/>
        </w:rPr>
        <w:t>Allow youth to participate several summers</w:t>
      </w:r>
      <w:r w:rsidRPr="002A227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After the second year, the program permitted youth to come back to work at the City. </w:t>
      </w:r>
      <w:r w:rsidR="0037554C">
        <w:rPr>
          <w:sz w:val="24"/>
          <w:szCs w:val="24"/>
        </w:rPr>
        <w:t>T</w:t>
      </w:r>
      <w:r>
        <w:rPr>
          <w:sz w:val="24"/>
          <w:szCs w:val="24"/>
        </w:rPr>
        <w:t>heir long term financial behavior was influenced by a supportive environment</w:t>
      </w:r>
      <w:r w:rsidR="009C4F70">
        <w:rPr>
          <w:sz w:val="24"/>
          <w:szCs w:val="24"/>
        </w:rPr>
        <w:t xml:space="preserve"> that </w:t>
      </w:r>
      <w:r w:rsidR="00695528">
        <w:rPr>
          <w:sz w:val="24"/>
          <w:szCs w:val="24"/>
        </w:rPr>
        <w:t>reiterat</w:t>
      </w:r>
      <w:r w:rsidR="009C4F70">
        <w:rPr>
          <w:sz w:val="24"/>
          <w:szCs w:val="24"/>
        </w:rPr>
        <w:t>ed</w:t>
      </w:r>
      <w:r w:rsidR="00695528">
        <w:rPr>
          <w:sz w:val="24"/>
          <w:szCs w:val="24"/>
        </w:rPr>
        <w:t xml:space="preserve"> financial education and</w:t>
      </w:r>
      <w:r w:rsidR="009C4F70">
        <w:rPr>
          <w:sz w:val="24"/>
          <w:szCs w:val="24"/>
        </w:rPr>
        <w:t xml:space="preserve"> </w:t>
      </w:r>
      <w:r w:rsidR="00695528">
        <w:rPr>
          <w:sz w:val="24"/>
          <w:szCs w:val="24"/>
        </w:rPr>
        <w:t>strong work practices.</w:t>
      </w:r>
    </w:p>
    <w:p w:rsidR="00BC3E51" w:rsidRPr="00BC3E51" w:rsidRDefault="00BC3E51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sz w:val="24"/>
          <w:szCs w:val="24"/>
        </w:rPr>
      </w:pPr>
      <w:r w:rsidRPr="00BC3E51">
        <w:rPr>
          <w:sz w:val="24"/>
          <w:szCs w:val="24"/>
          <w:u w:val="single"/>
        </w:rPr>
        <w:t>A new attitude</w:t>
      </w:r>
      <w:r w:rsidRPr="00BC3E51">
        <w:rPr>
          <w:sz w:val="24"/>
          <w:szCs w:val="24"/>
        </w:rPr>
        <w:t xml:space="preserve"> - </w:t>
      </w:r>
      <w:r w:rsidR="00BB6898">
        <w:rPr>
          <w:sz w:val="24"/>
          <w:szCs w:val="24"/>
        </w:rPr>
        <w:t>M</w:t>
      </w:r>
      <w:r w:rsidRPr="00BC3E51">
        <w:rPr>
          <w:sz w:val="24"/>
          <w:szCs w:val="24"/>
        </w:rPr>
        <w:t>any departments who were reluctant to host a summer youth</w:t>
      </w:r>
      <w:r w:rsidR="009C4F70">
        <w:rPr>
          <w:sz w:val="24"/>
          <w:szCs w:val="24"/>
        </w:rPr>
        <w:t>,</w:t>
      </w:r>
      <w:r w:rsidRPr="00BC3E51">
        <w:rPr>
          <w:sz w:val="24"/>
          <w:szCs w:val="24"/>
        </w:rPr>
        <w:t xml:space="preserve"> </w:t>
      </w:r>
      <w:r w:rsidR="00BB6898">
        <w:rPr>
          <w:sz w:val="24"/>
          <w:szCs w:val="24"/>
        </w:rPr>
        <w:t>are</w:t>
      </w:r>
      <w:r w:rsidRPr="00BC3E51">
        <w:rPr>
          <w:sz w:val="24"/>
          <w:szCs w:val="24"/>
        </w:rPr>
        <w:t xml:space="preserve"> now our greatest advocates for the program. </w:t>
      </w:r>
    </w:p>
    <w:p w:rsidR="00BC3E51" w:rsidRPr="00BC3E51" w:rsidRDefault="00BC3E51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sz w:val="24"/>
          <w:szCs w:val="24"/>
        </w:rPr>
      </w:pPr>
      <w:r w:rsidRPr="00BC3E51">
        <w:rPr>
          <w:sz w:val="24"/>
          <w:szCs w:val="24"/>
          <w:u w:val="single"/>
        </w:rPr>
        <w:t>The orientation day was shortened</w:t>
      </w:r>
      <w:r w:rsidRPr="00BC3E51">
        <w:rPr>
          <w:sz w:val="24"/>
          <w:szCs w:val="24"/>
        </w:rPr>
        <w:t xml:space="preserve"> </w:t>
      </w:r>
      <w:r w:rsidR="00A95F7B">
        <w:rPr>
          <w:sz w:val="24"/>
          <w:szCs w:val="24"/>
        </w:rPr>
        <w:t>–</w:t>
      </w:r>
      <w:r w:rsidRPr="00BC3E51">
        <w:rPr>
          <w:sz w:val="24"/>
          <w:szCs w:val="24"/>
        </w:rPr>
        <w:t xml:space="preserve"> </w:t>
      </w:r>
      <w:r w:rsidR="00A95F7B">
        <w:rPr>
          <w:sz w:val="24"/>
          <w:szCs w:val="24"/>
        </w:rPr>
        <w:t xml:space="preserve">Past </w:t>
      </w:r>
      <w:r w:rsidRPr="00BC3E51">
        <w:rPr>
          <w:sz w:val="24"/>
          <w:szCs w:val="24"/>
        </w:rPr>
        <w:t>experience</w:t>
      </w:r>
      <w:r w:rsidR="00C11668">
        <w:rPr>
          <w:sz w:val="24"/>
          <w:szCs w:val="24"/>
        </w:rPr>
        <w:t xml:space="preserve"> demonstrated</w:t>
      </w:r>
      <w:r w:rsidRPr="00BC3E51">
        <w:rPr>
          <w:sz w:val="24"/>
          <w:szCs w:val="24"/>
        </w:rPr>
        <w:t xml:space="preserve"> that “too much” information jammed into one 8 hour day was counterproductive. We</w:t>
      </w:r>
      <w:r w:rsidR="00A95F7B">
        <w:rPr>
          <w:sz w:val="24"/>
          <w:szCs w:val="24"/>
        </w:rPr>
        <w:t xml:space="preserve"> shortened </w:t>
      </w:r>
      <w:r w:rsidR="00A95F7B">
        <w:rPr>
          <w:sz w:val="24"/>
          <w:szCs w:val="24"/>
        </w:rPr>
        <w:lastRenderedPageBreak/>
        <w:t xml:space="preserve">orientation day by 3 hours and focused on </w:t>
      </w:r>
      <w:r w:rsidRPr="00BC3E51">
        <w:rPr>
          <w:sz w:val="24"/>
          <w:szCs w:val="24"/>
        </w:rPr>
        <w:t xml:space="preserve">financial empowerment and </w:t>
      </w:r>
      <w:r w:rsidR="0040459C">
        <w:rPr>
          <w:sz w:val="24"/>
          <w:szCs w:val="24"/>
        </w:rPr>
        <w:t>banking fundamentals</w:t>
      </w:r>
      <w:r w:rsidR="00C11668">
        <w:rPr>
          <w:sz w:val="24"/>
          <w:szCs w:val="24"/>
        </w:rPr>
        <w:t xml:space="preserve"> components</w:t>
      </w:r>
      <w:r w:rsidRPr="00BC3E51">
        <w:rPr>
          <w:sz w:val="24"/>
          <w:szCs w:val="24"/>
        </w:rPr>
        <w:t xml:space="preserve">. Our partner credit unions were present to aid in answering questions related to their new accounts. </w:t>
      </w:r>
    </w:p>
    <w:p w:rsidR="00BC3E51" w:rsidRPr="00BC3E51" w:rsidRDefault="00BC3E51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i/>
        </w:rPr>
      </w:pPr>
      <w:r w:rsidRPr="00BC3E51">
        <w:rPr>
          <w:sz w:val="24"/>
          <w:szCs w:val="24"/>
          <w:u w:val="single"/>
        </w:rPr>
        <w:t>New coalition coaches added</w:t>
      </w:r>
      <w:r w:rsidRPr="00BC3E51">
        <w:rPr>
          <w:sz w:val="24"/>
          <w:szCs w:val="24"/>
        </w:rPr>
        <w:t xml:space="preserve"> – </w:t>
      </w:r>
      <w:r w:rsidR="0037554C">
        <w:rPr>
          <w:sz w:val="24"/>
          <w:szCs w:val="24"/>
        </w:rPr>
        <w:t>O</w:t>
      </w:r>
      <w:r w:rsidRPr="00BC3E51">
        <w:rPr>
          <w:sz w:val="24"/>
          <w:szCs w:val="24"/>
        </w:rPr>
        <w:t>ur new Financial Empowerment Coaching Coalition, provided two added Coaches. These were needed as our 2</w:t>
      </w:r>
      <w:r w:rsidRPr="00BC3E51">
        <w:rPr>
          <w:sz w:val="24"/>
          <w:szCs w:val="24"/>
          <w:vertAlign w:val="superscript"/>
        </w:rPr>
        <w:t>nd</w:t>
      </w:r>
      <w:r w:rsidRPr="00BC3E51">
        <w:rPr>
          <w:sz w:val="24"/>
          <w:szCs w:val="24"/>
        </w:rPr>
        <w:t xml:space="preserve"> Coach left prior to the summer starting. This structure provide</w:t>
      </w:r>
      <w:r w:rsidR="00244687">
        <w:rPr>
          <w:sz w:val="24"/>
          <w:szCs w:val="24"/>
        </w:rPr>
        <w:t>s</w:t>
      </w:r>
      <w:r w:rsidRPr="00BC3E51">
        <w:rPr>
          <w:sz w:val="24"/>
          <w:szCs w:val="24"/>
        </w:rPr>
        <w:t xml:space="preserve"> a greater support to address financial education with the summer program participants.</w:t>
      </w:r>
    </w:p>
    <w:p w:rsidR="00BC3E51" w:rsidRPr="00BC3E51" w:rsidRDefault="00BC3E51" w:rsidP="0004147E">
      <w:pPr>
        <w:pStyle w:val="ListParagraph"/>
        <w:numPr>
          <w:ilvl w:val="0"/>
          <w:numId w:val="9"/>
        </w:numPr>
        <w:spacing w:before="240" w:after="0" w:line="480" w:lineRule="auto"/>
        <w:rPr>
          <w:i/>
        </w:rPr>
      </w:pPr>
      <w:r>
        <w:rPr>
          <w:sz w:val="24"/>
          <w:szCs w:val="24"/>
          <w:u w:val="single"/>
        </w:rPr>
        <w:t>General Fund was budgeted for the 2017 Summer Youth Employment and Financial Empowerment Program</w:t>
      </w:r>
      <w:r>
        <w:rPr>
          <w:sz w:val="24"/>
          <w:szCs w:val="24"/>
        </w:rPr>
        <w:t xml:space="preserve"> – The support of elected officials, City administrators, </w:t>
      </w:r>
      <w:r w:rsidR="00DF6D89">
        <w:rPr>
          <w:sz w:val="24"/>
          <w:szCs w:val="24"/>
        </w:rPr>
        <w:t xml:space="preserve">and </w:t>
      </w:r>
      <w:r>
        <w:rPr>
          <w:sz w:val="24"/>
          <w:szCs w:val="24"/>
        </w:rPr>
        <w:t>staff was demonstrated when the 3-year grant ended</w:t>
      </w:r>
      <w:r w:rsidR="00DF6D89">
        <w:rPr>
          <w:sz w:val="24"/>
          <w:szCs w:val="24"/>
        </w:rPr>
        <w:t xml:space="preserve"> in 2016</w:t>
      </w:r>
      <w:r>
        <w:rPr>
          <w:sz w:val="24"/>
          <w:szCs w:val="24"/>
        </w:rPr>
        <w:t xml:space="preserve"> and the program was funded with general fund dollars</w:t>
      </w:r>
      <w:r w:rsidR="00DF6D89">
        <w:rPr>
          <w:sz w:val="24"/>
          <w:szCs w:val="24"/>
        </w:rPr>
        <w:t xml:space="preserve"> for the 2017 summer</w:t>
      </w:r>
      <w:r>
        <w:rPr>
          <w:sz w:val="24"/>
          <w:szCs w:val="24"/>
        </w:rPr>
        <w:t xml:space="preserve">.  </w:t>
      </w:r>
    </w:p>
    <w:p w:rsidR="00812AC0" w:rsidRPr="004862C5" w:rsidRDefault="00176FAC" w:rsidP="0004147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000000"/>
          <w:sz w:val="24"/>
          <w:szCs w:val="24"/>
        </w:rPr>
      </w:pPr>
      <w:r w:rsidRPr="00176FAC">
        <w:rPr>
          <w:rFonts w:eastAsia="Times New Roman" w:cstheme="minorHAnsi"/>
          <w:b/>
          <w:color w:val="222222"/>
          <w:sz w:val="24"/>
          <w:szCs w:val="24"/>
        </w:rPr>
        <w:t>How the program raises awareness of the contributions of Local Government Managers</w:t>
      </w:r>
    </w:p>
    <w:p w:rsidR="008C2FFA" w:rsidRPr="009523A7" w:rsidRDefault="00BC3E51" w:rsidP="004862C5">
      <w:pPr>
        <w:autoSpaceDE w:val="0"/>
        <w:autoSpaceDN w:val="0"/>
        <w:adjustRightInd w:val="0"/>
        <w:spacing w:after="0" w:line="480" w:lineRule="auto"/>
        <w:ind w:firstLine="720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Since day one, the City Manager has encourage</w:t>
      </w:r>
      <w:r w:rsidR="00AC7FBF">
        <w:rPr>
          <w:rFonts w:cs="TimesNewRomanPSMT"/>
          <w:color w:val="000000"/>
          <w:sz w:val="24"/>
          <w:szCs w:val="24"/>
        </w:rPr>
        <w:t>d</w:t>
      </w:r>
      <w:r>
        <w:rPr>
          <w:rFonts w:cs="TimesNewRomanPSMT"/>
          <w:color w:val="000000"/>
          <w:sz w:val="24"/>
          <w:szCs w:val="24"/>
        </w:rPr>
        <w:t xml:space="preserve"> departments to employ Miami youth and </w:t>
      </w:r>
      <w:r w:rsidR="00BB6898">
        <w:rPr>
          <w:rFonts w:cs="TimesNewRomanPSMT"/>
          <w:color w:val="000000"/>
          <w:sz w:val="24"/>
          <w:szCs w:val="24"/>
        </w:rPr>
        <w:t>provide them</w:t>
      </w:r>
      <w:r w:rsidR="0040459C">
        <w:rPr>
          <w:rFonts w:cs="TimesNewRomanPSMT"/>
          <w:color w:val="000000"/>
          <w:sz w:val="24"/>
          <w:szCs w:val="24"/>
        </w:rPr>
        <w:t xml:space="preserve"> a</w:t>
      </w:r>
      <w:r>
        <w:rPr>
          <w:rFonts w:cs="TimesNewRomanPSMT"/>
          <w:color w:val="000000"/>
          <w:sz w:val="24"/>
          <w:szCs w:val="24"/>
        </w:rPr>
        <w:t xml:space="preserve"> valuable </w:t>
      </w:r>
      <w:r w:rsidR="00DF6D89">
        <w:rPr>
          <w:rFonts w:cs="TimesNewRomanPSMT"/>
          <w:color w:val="000000"/>
          <w:sz w:val="24"/>
          <w:szCs w:val="24"/>
        </w:rPr>
        <w:t xml:space="preserve">experience. </w:t>
      </w:r>
      <w:r w:rsidR="009C4F70">
        <w:rPr>
          <w:rFonts w:cs="TimesNewRomanPSMT"/>
          <w:color w:val="000000"/>
          <w:sz w:val="24"/>
          <w:szCs w:val="24"/>
        </w:rPr>
        <w:t>T</w:t>
      </w:r>
      <w:r w:rsidR="004B19AB">
        <w:rPr>
          <w:rFonts w:cs="TimesNewRomanPSMT"/>
          <w:color w:val="000000"/>
          <w:sz w:val="24"/>
          <w:szCs w:val="24"/>
        </w:rPr>
        <w:t xml:space="preserve">hey are the individuals identified in </w:t>
      </w:r>
      <w:r w:rsidR="00EF4CBC">
        <w:rPr>
          <w:rFonts w:cs="TimesNewRomanPSMT"/>
          <w:color w:val="000000"/>
          <w:sz w:val="24"/>
          <w:szCs w:val="24"/>
        </w:rPr>
        <w:t xml:space="preserve">the </w:t>
      </w:r>
      <w:r w:rsidR="004B19AB">
        <w:rPr>
          <w:rFonts w:cs="TimesNewRomanPSMT"/>
          <w:color w:val="000000"/>
          <w:sz w:val="24"/>
          <w:szCs w:val="24"/>
        </w:rPr>
        <w:t xml:space="preserve">City’s Strategic Plan </w:t>
      </w:r>
      <w:r w:rsidR="004B19AB" w:rsidRPr="00AD71D1">
        <w:rPr>
          <w:rFonts w:cs="TimesNewRomanPSMT"/>
          <w:i/>
          <w:color w:val="000000"/>
          <w:sz w:val="24"/>
          <w:szCs w:val="24"/>
        </w:rPr>
        <w:t>Education &amp; Economic Access</w:t>
      </w:r>
      <w:r w:rsidR="004B19AB">
        <w:rPr>
          <w:rFonts w:cs="TimesNewRomanPSMT"/>
          <w:color w:val="000000"/>
          <w:sz w:val="24"/>
          <w:szCs w:val="24"/>
        </w:rPr>
        <w:t xml:space="preserve"> priority and affected by the </w:t>
      </w:r>
      <w:r w:rsidR="004B19AB" w:rsidRPr="00AD71D1">
        <w:rPr>
          <w:rFonts w:cs="TimesNewRomanPSMT"/>
          <w:color w:val="000000"/>
          <w:sz w:val="24"/>
          <w:szCs w:val="24"/>
        </w:rPr>
        <w:t>Key objectives for achieving this priority</w:t>
      </w:r>
      <w:r w:rsidR="004B19AB">
        <w:rPr>
          <w:rFonts w:cs="TimesNewRomanPSMT"/>
          <w:color w:val="000000"/>
          <w:sz w:val="24"/>
          <w:szCs w:val="24"/>
        </w:rPr>
        <w:t xml:space="preserve">.  </w:t>
      </w:r>
      <w:r w:rsidR="008C2FFA" w:rsidRPr="009523A7">
        <w:rPr>
          <w:rFonts w:cs="TimesNewRomanPSMT"/>
          <w:color w:val="000000"/>
          <w:sz w:val="24"/>
          <w:szCs w:val="24"/>
        </w:rPr>
        <w:t xml:space="preserve">The </w:t>
      </w:r>
      <w:r w:rsidR="008C2FFA" w:rsidRPr="009523A7">
        <w:rPr>
          <w:rFonts w:cs="TimesNewRomanPSMT"/>
          <w:i/>
          <w:color w:val="000000"/>
          <w:sz w:val="24"/>
          <w:szCs w:val="24"/>
        </w:rPr>
        <w:t xml:space="preserve">City of Miami’s </w:t>
      </w:r>
      <w:r w:rsidR="009523A7" w:rsidRPr="009523A7">
        <w:rPr>
          <w:rFonts w:cs="TimesNewRomanPSMT"/>
          <w:i/>
          <w:color w:val="000000"/>
          <w:sz w:val="24"/>
          <w:szCs w:val="24"/>
        </w:rPr>
        <w:t>M</w:t>
      </w:r>
      <w:r w:rsidR="008C2FFA" w:rsidRPr="009523A7">
        <w:rPr>
          <w:rFonts w:cs="TimesNewRomanPSMT"/>
          <w:i/>
          <w:color w:val="000000"/>
          <w:sz w:val="24"/>
          <w:szCs w:val="24"/>
        </w:rPr>
        <w:t>ission of “Serving, Enhancing and Transforming</w:t>
      </w:r>
      <w:r w:rsidR="009523A7">
        <w:rPr>
          <w:rFonts w:cs="TimesNewRomanPSMT"/>
          <w:i/>
          <w:color w:val="000000"/>
          <w:sz w:val="24"/>
          <w:szCs w:val="24"/>
        </w:rPr>
        <w:t xml:space="preserve"> </w:t>
      </w:r>
      <w:r w:rsidR="008C2FFA" w:rsidRPr="009523A7">
        <w:rPr>
          <w:rFonts w:cs="TimesNewRomanPSMT"/>
          <w:i/>
          <w:color w:val="000000"/>
          <w:sz w:val="24"/>
          <w:szCs w:val="24"/>
        </w:rPr>
        <w:t>our Communities</w:t>
      </w:r>
      <w:r w:rsidR="008C2FFA" w:rsidRPr="009523A7">
        <w:rPr>
          <w:rFonts w:cs="TimesNewRomanPSMT"/>
          <w:color w:val="000000"/>
          <w:sz w:val="24"/>
          <w:szCs w:val="24"/>
        </w:rPr>
        <w:t>” is a pragmatic goal where residents, businesses, employees, and civic-entities work together to have a sustainable and livable community.</w:t>
      </w:r>
      <w:r w:rsidR="009523A7" w:rsidRPr="009523A7">
        <w:rPr>
          <w:rFonts w:cs="TimesNewRomanPSMT"/>
          <w:color w:val="000000"/>
          <w:sz w:val="24"/>
          <w:szCs w:val="24"/>
        </w:rPr>
        <w:t xml:space="preserve"> Developing the financial capabilities among low-income youth by providing employment opportunities and financial education is essential </w:t>
      </w:r>
      <w:r w:rsidR="009523A7">
        <w:rPr>
          <w:rFonts w:cs="TimesNewRomanPSMT"/>
          <w:color w:val="000000"/>
          <w:sz w:val="24"/>
          <w:szCs w:val="24"/>
        </w:rPr>
        <w:t>in achieving the City’s</w:t>
      </w:r>
      <w:r w:rsidR="009523A7" w:rsidRPr="009523A7">
        <w:rPr>
          <w:rFonts w:cs="TimesNewRomanPSMT"/>
          <w:color w:val="000000"/>
          <w:sz w:val="24"/>
          <w:szCs w:val="24"/>
        </w:rPr>
        <w:t xml:space="preserve"> mission.</w:t>
      </w:r>
    </w:p>
    <w:p w:rsidR="00176FAC" w:rsidRDefault="00176FAC">
      <w:pPr>
        <w:rPr>
          <w:b/>
        </w:rPr>
      </w:pPr>
    </w:p>
    <w:sectPr w:rsidR="00176FAC" w:rsidSect="000414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CE9" w:rsidRDefault="00224CE9" w:rsidP="00CE0A9F">
      <w:pPr>
        <w:spacing w:after="0" w:line="240" w:lineRule="auto"/>
      </w:pPr>
      <w:r>
        <w:separator/>
      </w:r>
    </w:p>
  </w:endnote>
  <w:endnote w:type="continuationSeparator" w:id="0">
    <w:p w:rsidR="00224CE9" w:rsidRDefault="00224CE9" w:rsidP="00CE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72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5F7B" w:rsidRDefault="00A95F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0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0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5F7B" w:rsidRDefault="00A95F7B" w:rsidP="00814D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CE9" w:rsidRDefault="00224CE9" w:rsidP="00CE0A9F">
      <w:pPr>
        <w:spacing w:after="0" w:line="240" w:lineRule="auto"/>
      </w:pPr>
      <w:r>
        <w:separator/>
      </w:r>
    </w:p>
  </w:footnote>
  <w:footnote w:type="continuationSeparator" w:id="0">
    <w:p w:rsidR="00224CE9" w:rsidRDefault="00224CE9" w:rsidP="00CE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7B" w:rsidRDefault="00A95F7B" w:rsidP="0004147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City of Miami </w:t>
    </w:r>
    <w:r w:rsidRPr="00490229">
      <w:rPr>
        <w:b/>
        <w:sz w:val="28"/>
        <w:szCs w:val="28"/>
      </w:rPr>
      <w:t>Community Partnership Award</w:t>
    </w:r>
    <w:r>
      <w:rPr>
        <w:b/>
        <w:sz w:val="28"/>
        <w:szCs w:val="28"/>
      </w:rPr>
      <w:t xml:space="preserve"> Nomination</w:t>
    </w:r>
  </w:p>
  <w:p w:rsidR="00A95F7B" w:rsidRPr="00723764" w:rsidRDefault="00A95F7B" w:rsidP="0004147E">
    <w:pPr>
      <w:pStyle w:val="Header"/>
      <w:jc w:val="center"/>
      <w:rPr>
        <w:b/>
        <w:sz w:val="28"/>
        <w:szCs w:val="28"/>
      </w:rPr>
    </w:pPr>
    <w:r w:rsidRPr="00723764">
      <w:rPr>
        <w:b/>
        <w:sz w:val="28"/>
        <w:szCs w:val="28"/>
      </w:rPr>
      <w:t>Summer Youth Employment &amp; Financial Empowerment Program</w:t>
    </w:r>
  </w:p>
  <w:p w:rsidR="00A95F7B" w:rsidRDefault="00A95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45D"/>
    <w:multiLevelType w:val="hybridMultilevel"/>
    <w:tmpl w:val="FED0F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928"/>
    <w:multiLevelType w:val="hybridMultilevel"/>
    <w:tmpl w:val="F198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85E"/>
    <w:multiLevelType w:val="hybridMultilevel"/>
    <w:tmpl w:val="75940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01D"/>
    <w:multiLevelType w:val="hybridMultilevel"/>
    <w:tmpl w:val="2AA42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924"/>
    <w:multiLevelType w:val="hybridMultilevel"/>
    <w:tmpl w:val="02F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3709"/>
    <w:multiLevelType w:val="hybridMultilevel"/>
    <w:tmpl w:val="4680122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9D42CB"/>
    <w:multiLevelType w:val="hybridMultilevel"/>
    <w:tmpl w:val="58E02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6074A"/>
    <w:multiLevelType w:val="hybridMultilevel"/>
    <w:tmpl w:val="AE5E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624"/>
    <w:multiLevelType w:val="hybridMultilevel"/>
    <w:tmpl w:val="B3E2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F"/>
    <w:rsid w:val="00014A49"/>
    <w:rsid w:val="0002439D"/>
    <w:rsid w:val="00026169"/>
    <w:rsid w:val="000330AA"/>
    <w:rsid w:val="000344FB"/>
    <w:rsid w:val="00035C5B"/>
    <w:rsid w:val="0004147E"/>
    <w:rsid w:val="00054CFE"/>
    <w:rsid w:val="00062BE4"/>
    <w:rsid w:val="00080156"/>
    <w:rsid w:val="000808E3"/>
    <w:rsid w:val="000D3434"/>
    <w:rsid w:val="000E6476"/>
    <w:rsid w:val="001534BA"/>
    <w:rsid w:val="00161480"/>
    <w:rsid w:val="00174DFB"/>
    <w:rsid w:val="00176FAC"/>
    <w:rsid w:val="001B0E5E"/>
    <w:rsid w:val="001B2CC1"/>
    <w:rsid w:val="001D3DD6"/>
    <w:rsid w:val="001D4930"/>
    <w:rsid w:val="001F450F"/>
    <w:rsid w:val="002010AB"/>
    <w:rsid w:val="00224CE9"/>
    <w:rsid w:val="00224F40"/>
    <w:rsid w:val="00227524"/>
    <w:rsid w:val="00244687"/>
    <w:rsid w:val="002642DA"/>
    <w:rsid w:val="0027204A"/>
    <w:rsid w:val="002761D1"/>
    <w:rsid w:val="00295C90"/>
    <w:rsid w:val="002A2279"/>
    <w:rsid w:val="002A740C"/>
    <w:rsid w:val="002C4C19"/>
    <w:rsid w:val="002C5D71"/>
    <w:rsid w:val="002D7A01"/>
    <w:rsid w:val="002F6D0B"/>
    <w:rsid w:val="0030111B"/>
    <w:rsid w:val="0030113B"/>
    <w:rsid w:val="0030585B"/>
    <w:rsid w:val="003440FA"/>
    <w:rsid w:val="003456F5"/>
    <w:rsid w:val="00360625"/>
    <w:rsid w:val="00370207"/>
    <w:rsid w:val="0037554C"/>
    <w:rsid w:val="00386958"/>
    <w:rsid w:val="00397576"/>
    <w:rsid w:val="003B11F6"/>
    <w:rsid w:val="003C41FB"/>
    <w:rsid w:val="003D219E"/>
    <w:rsid w:val="003E00F1"/>
    <w:rsid w:val="003F2D40"/>
    <w:rsid w:val="00401D73"/>
    <w:rsid w:val="00402853"/>
    <w:rsid w:val="0040459C"/>
    <w:rsid w:val="00426DC8"/>
    <w:rsid w:val="004550F4"/>
    <w:rsid w:val="00461D6C"/>
    <w:rsid w:val="0047017D"/>
    <w:rsid w:val="00472C1E"/>
    <w:rsid w:val="00483A43"/>
    <w:rsid w:val="004862C5"/>
    <w:rsid w:val="00490229"/>
    <w:rsid w:val="004A1F72"/>
    <w:rsid w:val="004B19AB"/>
    <w:rsid w:val="004C5A18"/>
    <w:rsid w:val="004F3CB6"/>
    <w:rsid w:val="004F57F3"/>
    <w:rsid w:val="004F5FF7"/>
    <w:rsid w:val="005311AD"/>
    <w:rsid w:val="005506A3"/>
    <w:rsid w:val="005839FF"/>
    <w:rsid w:val="005A3FE3"/>
    <w:rsid w:val="005B2D22"/>
    <w:rsid w:val="005B3CD0"/>
    <w:rsid w:val="005B6D86"/>
    <w:rsid w:val="005D2F18"/>
    <w:rsid w:val="005E00F8"/>
    <w:rsid w:val="005E1908"/>
    <w:rsid w:val="00602BB3"/>
    <w:rsid w:val="00632A84"/>
    <w:rsid w:val="00655CFE"/>
    <w:rsid w:val="0067077D"/>
    <w:rsid w:val="00674528"/>
    <w:rsid w:val="006911A5"/>
    <w:rsid w:val="00695528"/>
    <w:rsid w:val="006C6E8D"/>
    <w:rsid w:val="0072193E"/>
    <w:rsid w:val="00722322"/>
    <w:rsid w:val="00723764"/>
    <w:rsid w:val="00724593"/>
    <w:rsid w:val="007636A5"/>
    <w:rsid w:val="0078631B"/>
    <w:rsid w:val="00786B84"/>
    <w:rsid w:val="00786BC0"/>
    <w:rsid w:val="007946E1"/>
    <w:rsid w:val="007962A0"/>
    <w:rsid w:val="007A7761"/>
    <w:rsid w:val="007C0B10"/>
    <w:rsid w:val="007D6E76"/>
    <w:rsid w:val="007F19AA"/>
    <w:rsid w:val="007F5E68"/>
    <w:rsid w:val="00806FE8"/>
    <w:rsid w:val="00812AC0"/>
    <w:rsid w:val="00814D7F"/>
    <w:rsid w:val="00822CDE"/>
    <w:rsid w:val="00827F60"/>
    <w:rsid w:val="008468D3"/>
    <w:rsid w:val="0084783F"/>
    <w:rsid w:val="008C2FFA"/>
    <w:rsid w:val="008E2324"/>
    <w:rsid w:val="008F5D58"/>
    <w:rsid w:val="0090295A"/>
    <w:rsid w:val="00912818"/>
    <w:rsid w:val="00913B4E"/>
    <w:rsid w:val="00920F61"/>
    <w:rsid w:val="00934192"/>
    <w:rsid w:val="00935510"/>
    <w:rsid w:val="009523A7"/>
    <w:rsid w:val="0095296F"/>
    <w:rsid w:val="00960F1D"/>
    <w:rsid w:val="00993948"/>
    <w:rsid w:val="00997450"/>
    <w:rsid w:val="009A1D2A"/>
    <w:rsid w:val="009A3954"/>
    <w:rsid w:val="009B08F8"/>
    <w:rsid w:val="009C4F70"/>
    <w:rsid w:val="009D409E"/>
    <w:rsid w:val="009E2A62"/>
    <w:rsid w:val="009F1D79"/>
    <w:rsid w:val="00A1307F"/>
    <w:rsid w:val="00A13579"/>
    <w:rsid w:val="00A31142"/>
    <w:rsid w:val="00A777D3"/>
    <w:rsid w:val="00A95F7B"/>
    <w:rsid w:val="00AB42B6"/>
    <w:rsid w:val="00AB5BEC"/>
    <w:rsid w:val="00AB5C6A"/>
    <w:rsid w:val="00AC0ACD"/>
    <w:rsid w:val="00AC22FF"/>
    <w:rsid w:val="00AC6A22"/>
    <w:rsid w:val="00AC7FBF"/>
    <w:rsid w:val="00AD71D1"/>
    <w:rsid w:val="00AE668B"/>
    <w:rsid w:val="00B150C0"/>
    <w:rsid w:val="00B16848"/>
    <w:rsid w:val="00B30081"/>
    <w:rsid w:val="00B31E3B"/>
    <w:rsid w:val="00B34CF1"/>
    <w:rsid w:val="00B36FCE"/>
    <w:rsid w:val="00B56E13"/>
    <w:rsid w:val="00BA2777"/>
    <w:rsid w:val="00BB6898"/>
    <w:rsid w:val="00BC3E51"/>
    <w:rsid w:val="00BE4099"/>
    <w:rsid w:val="00BF0C34"/>
    <w:rsid w:val="00BF35D5"/>
    <w:rsid w:val="00BF60E0"/>
    <w:rsid w:val="00BF7513"/>
    <w:rsid w:val="00C107A4"/>
    <w:rsid w:val="00C11668"/>
    <w:rsid w:val="00C2778A"/>
    <w:rsid w:val="00C27FE8"/>
    <w:rsid w:val="00C4028E"/>
    <w:rsid w:val="00C409E5"/>
    <w:rsid w:val="00C4635E"/>
    <w:rsid w:val="00C70AAC"/>
    <w:rsid w:val="00C73F47"/>
    <w:rsid w:val="00CB6ED4"/>
    <w:rsid w:val="00CC1556"/>
    <w:rsid w:val="00CC773F"/>
    <w:rsid w:val="00CE0A9F"/>
    <w:rsid w:val="00CE1A18"/>
    <w:rsid w:val="00CE49C2"/>
    <w:rsid w:val="00D21155"/>
    <w:rsid w:val="00D44746"/>
    <w:rsid w:val="00D671FA"/>
    <w:rsid w:val="00D94C8F"/>
    <w:rsid w:val="00DA41C1"/>
    <w:rsid w:val="00DF6D89"/>
    <w:rsid w:val="00E01389"/>
    <w:rsid w:val="00E13E2B"/>
    <w:rsid w:val="00E305C9"/>
    <w:rsid w:val="00E3412A"/>
    <w:rsid w:val="00E76DA3"/>
    <w:rsid w:val="00E77EB0"/>
    <w:rsid w:val="00E86536"/>
    <w:rsid w:val="00EA151B"/>
    <w:rsid w:val="00EF129B"/>
    <w:rsid w:val="00EF4CBC"/>
    <w:rsid w:val="00F065CD"/>
    <w:rsid w:val="00F34446"/>
    <w:rsid w:val="00F45BE9"/>
    <w:rsid w:val="00F519E8"/>
    <w:rsid w:val="00F80521"/>
    <w:rsid w:val="00FD0350"/>
    <w:rsid w:val="00FD378A"/>
    <w:rsid w:val="00FE23CD"/>
    <w:rsid w:val="00FE62B1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32504-69A7-4651-A5C1-52BE954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9F"/>
  </w:style>
  <w:style w:type="paragraph" w:styleId="Footer">
    <w:name w:val="footer"/>
    <w:basedOn w:val="Normal"/>
    <w:link w:val="FooterChar"/>
    <w:uiPriority w:val="99"/>
    <w:unhideWhenUsed/>
    <w:rsid w:val="00CE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9F"/>
  </w:style>
  <w:style w:type="paragraph" w:customStyle="1" w:styleId="Default">
    <w:name w:val="Default"/>
    <w:rsid w:val="00CE0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77D"/>
    <w:pPr>
      <w:ind w:left="720"/>
      <w:contextualSpacing/>
    </w:pPr>
  </w:style>
  <w:style w:type="paragraph" w:styleId="Revision">
    <w:name w:val="Revision"/>
    <w:hidden/>
    <w:uiPriority w:val="99"/>
    <w:semiHidden/>
    <w:rsid w:val="00F065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23A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23D3-D03B-4552-B5D8-393C82A3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Porro, William</dc:creator>
  <cp:lastModifiedBy>Felicia Littky</cp:lastModifiedBy>
  <cp:revision>2</cp:revision>
  <cp:lastPrinted>2017-03-13T21:36:00Z</cp:lastPrinted>
  <dcterms:created xsi:type="dcterms:W3CDTF">2017-08-10T14:23:00Z</dcterms:created>
  <dcterms:modified xsi:type="dcterms:W3CDTF">2017-08-10T14:23:00Z</dcterms:modified>
</cp:coreProperties>
</file>